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ind w:left="0"/>
        <w:jc w:val="left"/>
        <w:rPr>
          <w:rFonts w:ascii="方正黑体_GBK" w:eastAsia="方正黑体_GBK" w:cs="方正小标宋_GBK" w:hint="eastAsia"/>
          <w:b w:val="0"/>
          <w:bCs/>
          <w:szCs w:val="32"/>
          <w:lang w:bidi="ar-SA"/>
        </w:rPr>
      </w:pPr>
      <w:r>
        <w:rPr>
          <w:rFonts w:ascii="方正黑体_GBK" w:eastAsia="方正黑体_GBK" w:cs="方正小标宋_GBK" w:hint="eastAsia"/>
          <w:b w:val="0"/>
          <w:bCs/>
          <w:szCs w:val="32"/>
          <w:lang w:bidi="ar-SA"/>
        </w:rPr>
        <w:t>附件</w:t>
      </w:r>
    </w:p>
    <w:p>
      <w:pPr>
        <w:ind w:left="0"/>
        <w:jc w:val="center"/>
        <w:rPr>
          <w:rFonts w:ascii="方正小标宋_GBK" w:eastAsia="方正小标宋_GBK" w:cs="方正小标宋_GBK" w:hint="eastAsia"/>
          <w:b w:val="0"/>
          <w:bCs/>
          <w:sz w:val="44"/>
          <w:szCs w:val="44"/>
          <w:lang w:bidi="ar-SA"/>
        </w:rPr>
      </w:pPr>
      <w:r>
        <w:rPr>
          <w:rFonts w:ascii="方正小标宋_GBK" w:eastAsia="方正小标宋_GBK" w:cs="方正小标宋_GBK" w:hint="eastAsia"/>
          <w:b w:val="0"/>
          <w:bCs/>
          <w:sz w:val="44"/>
          <w:szCs w:val="44"/>
          <w:lang w:bidi="ar-SA"/>
        </w:rPr>
        <w:t>相关法律、行政法规、规章具体条款</w:t>
      </w:r>
    </w:p>
    <w:p>
      <w:pPr>
        <w:ind w:left="0"/>
        <w:jc w:val="center"/>
        <w:rPr>
          <w:rFonts w:eastAsia="宋体"/>
          <w:b/>
          <w:bCs/>
          <w:sz w:val="44"/>
          <w:szCs w:val="44"/>
          <w:lang w:bidi="ar-SA"/>
        </w:rPr>
      </w:pPr>
      <w:bookmarkStart w:id="0" w:name="_GoBack"/>
      <w:bookmarkEnd w:id="0"/>
    </w:p>
    <w:tbl>
      <w:tblPr>
        <w:jc w:val="left"/>
        <w:tblInd w:w="79" w:type="dxa"/>
        <w:tblW w:w="13934"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780"/>
        <w:gridCol w:w="3914"/>
        <w:gridCol w:w="9240"/>
      </w:tblGrid>
      <w:tr>
        <w:trPr>
          <w:trHeight w:val="776"/>
        </w:trPr>
        <w:tc>
          <w:tcPr>
            <w:tcW w:w="780" w:type="dxa"/>
            <w:tcBorders>
              <w:top w:val="single" w:sz="6" w:space="0" w:color="auto"/>
              <w:left w:val="single" w:sz="6" w:space="0" w:color="auto"/>
              <w:bottom w:val="single" w:sz="6" w:space="0" w:color="auto"/>
              <w:right w:val="single" w:sz="6" w:space="0" w:color="auto"/>
              <w:tl2br w:val="nil"/>
              <w:tr2bl w:val="nil"/>
            </w:tcBorders>
            <w:noWrap/>
            <w:vAlign w:val="center"/>
          </w:tcPr>
          <w:p>
            <w:pPr>
              <w:pStyle w:val="67"/>
              <w:spacing w:line="420" w:lineRule="exact"/>
              <w:jc w:val="center"/>
              <w:rPr>
                <w:rFonts w:ascii="Times New Roman" w:hAnsi="Times New Roman"/>
              </w:rPr>
            </w:pPr>
            <w:r>
              <w:rPr>
                <w:rFonts w:ascii="Times New Roman" w:hAnsi="Times New Roman"/>
                <w:b/>
                <w:color w:val="000000"/>
                <w:sz w:val="24"/>
                <w:lang w:bidi="ar-SA"/>
              </w:rPr>
              <w:t>序号</w:t>
            </w:r>
          </w:p>
        </w:tc>
        <w:tc>
          <w:tcPr>
            <w:tcW w:w="3914" w:type="dxa"/>
            <w:tcBorders>
              <w:top w:val="single" w:sz="6" w:space="0" w:color="auto"/>
              <w:left w:val="single" w:sz="6" w:space="0" w:color="auto"/>
              <w:bottom w:val="single" w:sz="6" w:space="0" w:color="auto"/>
              <w:right w:val="single" w:sz="6" w:space="0" w:color="auto"/>
              <w:tl2br w:val="nil"/>
              <w:tr2bl w:val="nil"/>
            </w:tcBorders>
            <w:noWrap/>
            <w:vAlign w:val="center"/>
          </w:tcPr>
          <w:p>
            <w:pPr>
              <w:pStyle w:val="67"/>
              <w:spacing w:line="420" w:lineRule="exact"/>
              <w:jc w:val="center"/>
              <w:rPr>
                <w:rFonts w:ascii="Times New Roman" w:hAnsi="Times New Roman"/>
              </w:rPr>
            </w:pPr>
            <w:r>
              <w:rPr>
                <w:rFonts w:ascii="Times New Roman" w:hAnsi="Times New Roman"/>
                <w:b/>
                <w:color w:val="000000"/>
                <w:sz w:val="24"/>
                <w:lang w:bidi="ar-SA"/>
              </w:rPr>
              <w:t>授权依据</w:t>
            </w:r>
          </w:p>
        </w:tc>
        <w:tc>
          <w:tcPr>
            <w:tcW w:w="9240" w:type="dxa"/>
            <w:tcBorders>
              <w:top w:val="single" w:sz="6" w:space="0" w:color="auto"/>
              <w:left w:val="single" w:sz="6" w:space="0" w:color="auto"/>
              <w:bottom w:val="single" w:sz="6" w:space="0" w:color="auto"/>
              <w:right w:val="single" w:sz="6" w:space="0" w:color="auto"/>
              <w:tl2br w:val="nil"/>
              <w:tr2bl w:val="nil"/>
            </w:tcBorders>
            <w:noWrap/>
            <w:vAlign w:val="center"/>
          </w:tcPr>
          <w:p>
            <w:pPr>
              <w:pStyle w:val="67"/>
              <w:spacing w:line="420" w:lineRule="exact"/>
              <w:jc w:val="center"/>
              <w:rPr>
                <w:rFonts w:ascii="Times New Roman" w:hAnsi="Times New Roman"/>
              </w:rPr>
            </w:pPr>
            <w:r>
              <w:rPr>
                <w:rFonts w:ascii="Times New Roman" w:hAnsi="Times New Roman"/>
                <w:b/>
                <w:color w:val="000000"/>
                <w:sz w:val="24"/>
                <w:lang w:bidi="ar-SA"/>
              </w:rPr>
              <w:t>条文内容</w:t>
            </w:r>
          </w:p>
        </w:tc>
      </w:tr>
      <w:tr>
        <w:trPr>
          <w:trHeight w:val="560"/>
        </w:trPr>
        <w:tc>
          <w:tcPr>
            <w:tcW w:w="780" w:type="dxa"/>
            <w:tcBorders>
              <w:top w:val="single" w:sz="6" w:space="0" w:color="auto"/>
              <w:left w:val="single" w:sz="6" w:space="0" w:color="auto"/>
              <w:bottom w:val="single" w:sz="6" w:space="0" w:color="auto"/>
              <w:right w:val="single" w:sz="6" w:space="0" w:color="auto"/>
              <w:tl2br w:val="nil"/>
              <w:tr2bl w:val="nil"/>
            </w:tcBorders>
            <w:noWrap/>
            <w:vAlign w:val="center"/>
          </w:tcPr>
          <w:p>
            <w:pPr>
              <w:pStyle w:val="67"/>
              <w:spacing w:line="420" w:lineRule="exact"/>
              <w:jc w:val="center"/>
              <w:rPr>
                <w:rFonts w:ascii="Times New Roman" w:hAnsi="Times New Roman"/>
              </w:rPr>
            </w:pPr>
            <w:r>
              <w:rPr>
                <w:rFonts w:ascii="Times New Roman" w:eastAsia="方正仿宋_GBK" w:hAnsi="Times New Roman"/>
                <w:color w:val="000000"/>
                <w:sz w:val="24"/>
                <w:lang w:bidi="ar-SA"/>
              </w:rPr>
              <w:t>1</w:t>
            </w:r>
          </w:p>
        </w:tc>
        <w:tc>
          <w:tcPr>
            <w:tcW w:w="3914" w:type="dxa"/>
            <w:tcBorders>
              <w:top w:val="single" w:sz="6" w:space="0" w:color="auto"/>
              <w:left w:val="single" w:sz="6" w:space="0" w:color="auto"/>
              <w:bottom w:val="single" w:sz="6" w:space="0" w:color="auto"/>
              <w:right w:val="single" w:sz="6" w:space="0" w:color="auto"/>
              <w:tl2br w:val="nil"/>
              <w:tr2bl w:val="nil"/>
            </w:tcBorders>
            <w:noWrap/>
            <w:vAlign w:val="center"/>
          </w:tcPr>
          <w:p>
            <w:pPr>
              <w:pStyle w:val="67"/>
              <w:spacing w:line="420" w:lineRule="exact"/>
              <w:jc w:val="center"/>
              <w:rPr>
                <w:rFonts w:ascii="Times New Roman" w:eastAsia="方正仿宋_GBK" w:hAnsi="Times New Roman"/>
                <w:color w:val="000000"/>
                <w:sz w:val="24"/>
                <w:lang w:bidi="ar-SA"/>
              </w:rPr>
            </w:pPr>
            <w:r>
              <w:rPr>
                <w:rFonts w:ascii="Times New Roman" w:eastAsia="方正仿宋_GBK" w:hAnsi="Times New Roman"/>
                <w:color w:val="000000"/>
                <w:sz w:val="24"/>
                <w:lang w:bidi="ar-SA"/>
              </w:rPr>
              <w:t>《中华人民共和国海关法》</w:t>
            </w:r>
          </w:p>
          <w:p>
            <w:pPr>
              <w:pStyle w:val="67"/>
              <w:spacing w:line="420" w:lineRule="exact"/>
              <w:jc w:val="center"/>
              <w:rPr>
                <w:rFonts w:ascii="Times New Roman" w:hAnsi="Times New Roman"/>
              </w:rPr>
            </w:pPr>
            <w:r>
              <w:rPr>
                <w:rFonts w:ascii="Times New Roman" w:eastAsia="方正仿宋_GBK" w:hAnsi="Times New Roman"/>
                <w:color w:val="000000"/>
                <w:sz w:val="24"/>
                <w:lang w:bidi="ar-SA"/>
              </w:rPr>
              <w:t>第六条第（四）、第（五）项</w:t>
            </w:r>
          </w:p>
        </w:tc>
        <w:tc>
          <w:tcPr>
            <w:tcW w:w="9240" w:type="dxa"/>
            <w:tcBorders>
              <w:top w:val="single" w:sz="6" w:space="0" w:color="auto"/>
              <w:left w:val="single" w:sz="6" w:space="0" w:color="auto"/>
              <w:bottom w:val="single" w:sz="6" w:space="0" w:color="auto"/>
              <w:right w:val="single" w:sz="6" w:space="0" w:color="auto"/>
              <w:tl2br w:val="nil"/>
              <w:tr2bl w:val="nil"/>
            </w:tcBorders>
            <w:noWrap/>
            <w:vAlign w:val="center"/>
          </w:tcPr>
          <w:p>
            <w:pPr>
              <w:pStyle w:val="67"/>
              <w:spacing w:line="400" w:lineRule="exact"/>
              <w:ind w:firstLineChars="200" w:firstLine="480"/>
              <w:rPr>
                <w:rFonts w:ascii="Times New Roman" w:eastAsia="方正仿宋_GBK" w:hAnsi="Times New Roman"/>
                <w:color w:val="000000"/>
                <w:sz w:val="24"/>
              </w:rPr>
            </w:pPr>
            <w:r>
              <w:rPr>
                <w:rFonts w:ascii="Times New Roman" w:eastAsia="方正仿宋_GBK" w:hAnsi="Times New Roman"/>
                <w:color w:val="000000"/>
                <w:sz w:val="24"/>
              </w:rPr>
              <w:t xml:space="preserve">海关可以行使下列权力： </w:t>
            </w:r>
          </w:p>
          <w:p>
            <w:pPr>
              <w:pStyle w:val="67"/>
              <w:spacing w:line="400" w:lineRule="exact"/>
              <w:ind w:firstLineChars="200" w:firstLine="480"/>
              <w:rPr>
                <w:rFonts w:ascii="Times New Roman" w:eastAsia="方正仿宋_GBK" w:hAnsi="Times New Roman"/>
                <w:color w:val="000000"/>
                <w:sz w:val="24"/>
              </w:rPr>
            </w:pPr>
            <w:r>
              <w:rPr>
                <w:rFonts w:ascii="Times New Roman" w:eastAsia="方正仿宋_GBK" w:hAnsi="Times New Roman"/>
                <w:color w:val="000000"/>
                <w:sz w:val="24"/>
              </w:rPr>
              <w:t>（四）在海关监管区和海关附近沿海沿边规定地区，检查有走私嫌疑的运输工具和有藏匿走私货物、物品嫌疑的场所，检查走私嫌疑人的身体；对有走私嫌疑的运输工具、货物、物品和走私犯罪嫌疑人，经直属海关关长或者其授权的隶属海关关长批准，可以扣留；对走私犯罪嫌疑人，扣留时间不超过二十四小时，在特殊情况下可以延长至四十八小时。</w:t>
            </w:r>
          </w:p>
          <w:p>
            <w:pPr>
              <w:pStyle w:val="67"/>
              <w:spacing w:line="400" w:lineRule="exact"/>
              <w:rPr>
                <w:rFonts w:ascii="Times New Roman" w:eastAsia="方正仿宋_GBK" w:hAnsi="Times New Roman"/>
                <w:color w:val="000000"/>
                <w:sz w:val="24"/>
              </w:rPr>
            </w:pPr>
            <w:r>
              <w:rPr>
                <w:rFonts w:ascii="Times New Roman" w:eastAsia="方正仿宋_GBK" w:hAnsi="Times New Roman"/>
                <w:color w:val="000000"/>
                <w:sz w:val="24"/>
              </w:rPr>
              <w:t>　　在海关监管区和海关附近沿海沿边规定地区以外，海关在调查走私案件时，对有走私嫌疑的运输工具和除公民住处以外的有藏匿走私货物、物品嫌疑的场所，经直属海关关长或者其授权的隶属海关关长批准，可以进行检查，有关当事人应当到场；当事人未到场的，在有见证人在场的情况下，可以径行检查；对其中有证据证明有走私嫌疑的运输工具、货物、物品，可以扣留。</w:t>
            </w:r>
          </w:p>
          <w:p>
            <w:pPr>
              <w:pStyle w:val="67"/>
              <w:spacing w:line="400" w:lineRule="exact"/>
              <w:ind w:firstLine="483"/>
              <w:rPr>
                <w:rFonts w:ascii="Times New Roman" w:eastAsia="方正仿宋_GBK" w:hAnsi="Times New Roman"/>
                <w:color w:val="000000"/>
                <w:sz w:val="24"/>
                <w:lang w:bidi="ar-SA"/>
              </w:rPr>
            </w:pPr>
            <w:r>
              <w:rPr>
                <w:rFonts w:ascii="Times New Roman" w:eastAsia="方正仿宋_GBK" w:hAnsi="Times New Roman"/>
                <w:color w:val="000000"/>
                <w:sz w:val="24"/>
                <w:lang w:bidi="ar-SA"/>
              </w:rPr>
              <w:t>海关附近沿海沿边规定地区的范围，由海关总署和国务院公安部门会同有关省级人民政府确定。</w:t>
            </w:r>
          </w:p>
          <w:p>
            <w:pPr>
              <w:pStyle w:val="67"/>
              <w:spacing w:line="400" w:lineRule="exact"/>
              <w:ind w:firstLine="483"/>
              <w:rPr>
                <w:rFonts w:ascii="Times New Roman" w:hAnsi="Times New Roman"/>
              </w:rPr>
            </w:pPr>
            <w:r>
              <w:rPr>
                <w:rFonts w:ascii="Times New Roman" w:eastAsia="方正仿宋_GBK" w:hAnsi="Times New Roman"/>
                <w:color w:val="000000"/>
                <w:sz w:val="24"/>
                <w:lang w:bidi="ar-SA"/>
              </w:rPr>
              <w:t>（五）在调查走私案件时，经直属海关关长或者其授权的隶属海关关长批准，可以查询案件涉嫌单位和涉嫌人员在金融机构、邮政企业的存款、汇款。</w:t>
            </w:r>
          </w:p>
        </w:tc>
      </w:tr>
      <w:tr>
        <w:trPr>
          <w:trHeight w:val="1815"/>
        </w:trPr>
        <w:tc>
          <w:tcPr>
            <w:tcW w:w="780" w:type="dxa"/>
            <w:tcBorders>
              <w:top w:val="single" w:sz="6" w:space="0" w:color="auto"/>
              <w:left w:val="single" w:sz="6" w:space="0" w:color="auto"/>
              <w:bottom w:val="single" w:sz="6" w:space="0" w:color="auto"/>
              <w:right w:val="single" w:sz="6" w:space="0" w:color="auto"/>
              <w:tl2br w:val="nil"/>
              <w:tr2bl w:val="nil"/>
            </w:tcBorders>
            <w:noWrap/>
            <w:vAlign w:val="center"/>
          </w:tcPr>
          <w:p>
            <w:pPr>
              <w:pStyle w:val="68"/>
              <w:spacing w:line="420" w:lineRule="exact"/>
              <w:jc w:val="center"/>
              <w:rPr>
                <w:rFonts w:ascii="Times New Roman" w:hAnsi="Times New Roman"/>
              </w:rPr>
            </w:pPr>
            <w:r>
              <w:rPr>
                <w:rFonts w:ascii="Times New Roman" w:eastAsia="方正仿宋_GBK" w:hAnsi="Times New Roman"/>
                <w:color w:val="000000"/>
                <w:sz w:val="24"/>
                <w:lang w:bidi="ar-SA"/>
              </w:rPr>
              <w:t>2</w:t>
            </w:r>
          </w:p>
        </w:tc>
        <w:tc>
          <w:tcPr>
            <w:tcW w:w="3914" w:type="dxa"/>
            <w:tcBorders>
              <w:top w:val="single" w:sz="6" w:space="0" w:color="auto"/>
              <w:left w:val="single" w:sz="6" w:space="0" w:color="auto"/>
              <w:bottom w:val="single" w:sz="6" w:space="0" w:color="auto"/>
              <w:right w:val="single" w:sz="6" w:space="0" w:color="auto"/>
              <w:tl2br w:val="nil"/>
              <w:tr2bl w:val="nil"/>
            </w:tcBorders>
            <w:noWrap/>
            <w:vAlign w:val="center"/>
          </w:tcPr>
          <w:p>
            <w:pPr>
              <w:pStyle w:val="69"/>
              <w:spacing w:line="420" w:lineRule="exact"/>
              <w:jc w:val="center"/>
              <w:rPr>
                <w:rFonts w:ascii="Times New Roman" w:eastAsia="方正仿宋_GBK" w:hAnsi="Times New Roman"/>
                <w:color w:val="000000"/>
                <w:sz w:val="24"/>
                <w:lang w:bidi="ar-SA"/>
              </w:rPr>
            </w:pPr>
            <w:r>
              <w:rPr>
                <w:rFonts w:ascii="Times New Roman" w:eastAsia="方正仿宋_GBK" w:hAnsi="Times New Roman"/>
                <w:color w:val="000000"/>
                <w:sz w:val="24"/>
                <w:lang w:bidi="ar-SA"/>
              </w:rPr>
              <w:t>《中华人民共和国海关法》</w:t>
            </w:r>
          </w:p>
          <w:p>
            <w:pPr>
              <w:pStyle w:val="69"/>
              <w:spacing w:line="420" w:lineRule="exact"/>
              <w:jc w:val="center"/>
              <w:rPr>
                <w:rFonts w:ascii="Times New Roman" w:hAnsi="Times New Roman"/>
              </w:rPr>
            </w:pPr>
            <w:r>
              <w:rPr>
                <w:rFonts w:ascii="Times New Roman" w:eastAsia="方正仿宋_GBK" w:hAnsi="Times New Roman"/>
                <w:color w:val="000000"/>
                <w:sz w:val="24"/>
                <w:lang w:bidi="ar-SA"/>
              </w:rPr>
              <w:t>第六十条第一款</w:t>
            </w:r>
          </w:p>
        </w:tc>
        <w:tc>
          <w:tcPr>
            <w:tcW w:w="9240" w:type="dxa"/>
            <w:tcBorders>
              <w:top w:val="single" w:sz="6" w:space="0" w:color="auto"/>
              <w:left w:val="single" w:sz="6" w:space="0" w:color="auto"/>
              <w:bottom w:val="single" w:sz="6" w:space="0" w:color="auto"/>
              <w:right w:val="single" w:sz="6" w:space="0" w:color="auto"/>
              <w:tl2br w:val="nil"/>
              <w:tr2bl w:val="nil"/>
            </w:tcBorders>
            <w:noWrap/>
            <w:vAlign w:val="center"/>
          </w:tcPr>
          <w:p>
            <w:pPr>
              <w:pStyle w:val="70"/>
              <w:spacing w:line="420" w:lineRule="exact"/>
              <w:ind w:firstLine="466"/>
              <w:rPr>
                <w:rFonts w:ascii="Times New Roman" w:eastAsia="方正仿宋_GBK" w:hAnsi="Times New Roman"/>
                <w:color w:val="000000"/>
                <w:sz w:val="24"/>
                <w:lang w:bidi="ar-SA"/>
              </w:rPr>
            </w:pPr>
            <w:r>
              <w:rPr>
                <w:rFonts w:ascii="Times New Roman" w:eastAsia="方正仿宋_GBK" w:hAnsi="Times New Roman"/>
                <w:color w:val="000000"/>
                <w:sz w:val="24"/>
                <w:lang w:bidi="ar-SA"/>
              </w:rPr>
              <w:t>进出口货物的纳税义务人，应当自海关填发税款缴款书之日起十五日内缴纳税款；逾期缴纳的，由海关征收滞纳金。纳税义务人、担保人超过三个月仍未缴纳的，经直属海关关长或者其授权的隶属海关关长批准，海关可以采取下列强制措施：</w:t>
            </w:r>
          </w:p>
          <w:p>
            <w:pPr>
              <w:pStyle w:val="70"/>
              <w:spacing w:line="420" w:lineRule="exact"/>
              <w:ind w:firstLineChars="200" w:firstLine="480"/>
              <w:rPr>
                <w:rFonts w:ascii="Times New Roman" w:eastAsia="方正仿宋_GBK" w:hAnsi="Times New Roman"/>
                <w:color w:val="000000"/>
                <w:sz w:val="24"/>
                <w:lang w:bidi="ar-SA"/>
              </w:rPr>
            </w:pPr>
            <w:r>
              <w:rPr>
                <w:rFonts w:ascii="Times New Roman" w:eastAsia="方正仿宋_GBK" w:hAnsi="Times New Roman"/>
                <w:color w:val="000000"/>
                <w:sz w:val="24"/>
                <w:lang w:bidi="ar-SA"/>
              </w:rPr>
              <w:t>（一）书面通知其开户银行或者其他金融机构从其存款中扣缴税款；</w:t>
            </w:r>
          </w:p>
          <w:p>
            <w:pPr>
              <w:pStyle w:val="70"/>
              <w:spacing w:line="420" w:lineRule="exact"/>
              <w:ind w:firstLine="466"/>
              <w:rPr>
                <w:rFonts w:ascii="Times New Roman" w:eastAsia="方正仿宋_GBK" w:hAnsi="Times New Roman"/>
                <w:color w:val="000000"/>
                <w:sz w:val="24"/>
                <w:lang w:bidi="ar-SA"/>
              </w:rPr>
            </w:pPr>
            <w:r>
              <w:rPr>
                <w:rFonts w:ascii="Times New Roman" w:eastAsia="方正仿宋_GBK" w:hAnsi="Times New Roman"/>
                <w:color w:val="000000"/>
                <w:sz w:val="24"/>
                <w:lang w:bidi="ar-SA"/>
              </w:rPr>
              <w:t>（二）将应税货物依法变卖，以变卖所得抵缴税款；</w:t>
            </w:r>
          </w:p>
          <w:p>
            <w:pPr>
              <w:pStyle w:val="70"/>
              <w:spacing w:line="420" w:lineRule="exact"/>
              <w:ind w:firstLineChars="200" w:firstLine="480"/>
              <w:rPr>
                <w:rFonts w:ascii="Times New Roman" w:hAnsi="Times New Roman"/>
              </w:rPr>
            </w:pPr>
            <w:r>
              <w:rPr>
                <w:rFonts w:ascii="Times New Roman" w:eastAsia="方正仿宋_GBK" w:hAnsi="Times New Roman"/>
                <w:color w:val="000000"/>
                <w:sz w:val="24"/>
                <w:lang w:bidi="ar-SA"/>
              </w:rPr>
              <w:t>（三）扣留并依法变卖其价值相当于应纳税款的货物或者其他财产，以变卖所得抵缴税款。</w:t>
            </w:r>
          </w:p>
        </w:tc>
      </w:tr>
      <w:tr>
        <w:trPr>
          <w:trHeight w:val="698"/>
        </w:trPr>
        <w:tc>
          <w:tcPr>
            <w:tcW w:w="780" w:type="dxa"/>
            <w:tcBorders>
              <w:top w:val="single" w:sz="6" w:space="0" w:color="auto"/>
              <w:left w:val="single" w:sz="6" w:space="0" w:color="auto"/>
              <w:bottom w:val="single" w:sz="6" w:space="0" w:color="auto"/>
              <w:right w:val="single" w:sz="6" w:space="0" w:color="auto"/>
              <w:tl2br w:val="nil"/>
              <w:tr2bl w:val="nil"/>
            </w:tcBorders>
            <w:noWrap/>
            <w:vAlign w:val="center"/>
          </w:tcPr>
          <w:p>
            <w:pPr>
              <w:pStyle w:val="71"/>
              <w:spacing w:line="420" w:lineRule="exact"/>
              <w:jc w:val="center"/>
              <w:rPr>
                <w:rFonts w:ascii="Times New Roman" w:hAnsi="Times New Roman"/>
              </w:rPr>
            </w:pPr>
            <w:r>
              <w:rPr>
                <w:rFonts w:ascii="Times New Roman" w:eastAsia="方正仿宋_GBK" w:hAnsi="Times New Roman"/>
                <w:color w:val="000000"/>
                <w:sz w:val="24"/>
                <w:lang w:bidi="ar-SA"/>
              </w:rPr>
              <w:t>3</w:t>
            </w:r>
          </w:p>
        </w:tc>
        <w:tc>
          <w:tcPr>
            <w:tcW w:w="3914" w:type="dxa"/>
            <w:tcBorders>
              <w:top w:val="single" w:sz="6" w:space="0" w:color="auto"/>
              <w:left w:val="single" w:sz="6" w:space="0" w:color="auto"/>
              <w:bottom w:val="single" w:sz="6" w:space="0" w:color="auto"/>
              <w:right w:val="single" w:sz="6" w:space="0" w:color="auto"/>
              <w:tl2br w:val="nil"/>
              <w:tr2bl w:val="nil"/>
            </w:tcBorders>
            <w:noWrap/>
            <w:vAlign w:val="center"/>
          </w:tcPr>
          <w:p>
            <w:pPr>
              <w:pStyle w:val="72"/>
              <w:spacing w:line="420" w:lineRule="exact"/>
              <w:jc w:val="center"/>
              <w:rPr>
                <w:rFonts w:ascii="Times New Roman" w:eastAsia="方正仿宋_GBK" w:hAnsi="Times New Roman"/>
                <w:color w:val="000000"/>
                <w:sz w:val="24"/>
                <w:lang w:bidi="ar-SA"/>
              </w:rPr>
            </w:pPr>
            <w:r>
              <w:rPr>
                <w:rFonts w:ascii="Times New Roman" w:eastAsia="方正仿宋_GBK" w:hAnsi="Times New Roman"/>
                <w:color w:val="000000"/>
                <w:sz w:val="24"/>
                <w:lang w:bidi="ar-SA"/>
              </w:rPr>
              <w:t>《中华人民共和国海关法》</w:t>
            </w:r>
          </w:p>
          <w:p>
            <w:pPr>
              <w:pStyle w:val="72"/>
              <w:spacing w:line="420" w:lineRule="exact"/>
              <w:jc w:val="center"/>
              <w:rPr>
                <w:rFonts w:ascii="Times New Roman" w:hAnsi="Times New Roman"/>
              </w:rPr>
            </w:pPr>
            <w:r>
              <w:rPr>
                <w:rFonts w:ascii="Times New Roman" w:eastAsia="方正仿宋_GBK" w:hAnsi="Times New Roman"/>
                <w:color w:val="000000"/>
                <w:sz w:val="24"/>
                <w:lang w:bidi="ar-SA"/>
              </w:rPr>
              <w:t>第六十一条第一、第二款</w:t>
            </w:r>
          </w:p>
        </w:tc>
        <w:tc>
          <w:tcPr>
            <w:tcW w:w="9240" w:type="dxa"/>
            <w:tcBorders>
              <w:top w:val="single" w:sz="6" w:space="0" w:color="auto"/>
              <w:left w:val="single" w:sz="6" w:space="0" w:color="auto"/>
              <w:bottom w:val="single" w:sz="6" w:space="0" w:color="auto"/>
              <w:right w:val="single" w:sz="6" w:space="0" w:color="auto"/>
              <w:tl2br w:val="nil"/>
              <w:tr2bl w:val="nil"/>
            </w:tcBorders>
            <w:noWrap/>
            <w:vAlign w:val="center"/>
          </w:tcPr>
          <w:p>
            <w:pPr>
              <w:pStyle w:val="73"/>
              <w:spacing w:line="420" w:lineRule="exact"/>
              <w:rPr>
                <w:rFonts w:ascii="Times New Roman" w:eastAsia="方正仿宋_GBK" w:hAnsi="Times New Roman"/>
                <w:color w:val="000000"/>
                <w:sz w:val="24"/>
                <w:lang w:bidi="ar-SA"/>
              </w:rPr>
            </w:pPr>
            <w:r>
              <w:rPr>
                <w:rFonts w:ascii="Times New Roman" w:eastAsia="方正仿宋_GBK" w:hAnsi="Times New Roman"/>
                <w:color w:val="000000"/>
                <w:sz w:val="24"/>
                <w:lang w:bidi="ar-SA"/>
              </w:rPr>
              <w:t xml:space="preserve">    进出口货物的纳税义务人在规定的纳税期限内有明显的转移、藏匿其应税货物以及其他财产迹象的，海关可以责令纳税义务人提供担保；纳税义务人不能提供纳税担保的，经直属海关关长或者其授权的隶属海关关长批准，海关可以采取下列税收保全措施：</w:t>
            </w:r>
          </w:p>
          <w:p>
            <w:pPr>
              <w:pStyle w:val="73"/>
              <w:spacing w:line="420" w:lineRule="exact"/>
              <w:rPr>
                <w:rFonts w:ascii="Times New Roman" w:eastAsia="方正仿宋_GBK" w:hAnsi="Times New Roman"/>
                <w:color w:val="000000"/>
                <w:sz w:val="24"/>
                <w:lang w:bidi="ar-SA"/>
              </w:rPr>
            </w:pPr>
            <w:r>
              <w:rPr>
                <w:rFonts w:ascii="Times New Roman" w:eastAsia="方正仿宋_GBK" w:hAnsi="Times New Roman"/>
                <w:color w:val="000000"/>
                <w:sz w:val="24"/>
                <w:lang w:bidi="ar-SA"/>
              </w:rPr>
              <w:t xml:space="preserve">    （一）书面通知纳税义务人开户银行或者其他金融机构暂停支付纳税义务人相当于应纳税款的存款；</w:t>
            </w:r>
          </w:p>
          <w:p>
            <w:pPr>
              <w:pStyle w:val="73"/>
              <w:spacing w:line="420" w:lineRule="exact"/>
              <w:rPr>
                <w:rFonts w:ascii="Times New Roman" w:eastAsia="方正仿宋_GBK" w:hAnsi="Times New Roman"/>
                <w:color w:val="000000"/>
                <w:sz w:val="24"/>
                <w:lang w:bidi="ar-SA"/>
              </w:rPr>
            </w:pPr>
            <w:r>
              <w:rPr>
                <w:rFonts w:ascii="Times New Roman" w:eastAsia="方正仿宋_GBK" w:hAnsi="Times New Roman"/>
                <w:color w:val="000000"/>
                <w:sz w:val="24"/>
                <w:lang w:bidi="ar-SA"/>
              </w:rPr>
              <w:t xml:space="preserve">    （二）扣留纳税义务人价值相当于应纳税款的货物或者其他财产。</w:t>
            </w:r>
          </w:p>
          <w:p>
            <w:pPr>
              <w:pStyle w:val="73"/>
              <w:spacing w:line="420" w:lineRule="exact"/>
              <w:rPr>
                <w:rFonts w:ascii="Times New Roman" w:hAnsi="Times New Roman"/>
              </w:rPr>
            </w:pPr>
            <w:r>
              <w:rPr>
                <w:rFonts w:ascii="Times New Roman" w:eastAsia="方正仿宋_GBK" w:hAnsi="Times New Roman"/>
                <w:color w:val="000000"/>
                <w:sz w:val="24"/>
                <w:lang w:bidi="ar-SA"/>
              </w:rPr>
              <w:t xml:space="preserve">    纳税义务人在规定的纳税期限内缴纳税款的，海关必须立即解除税收保全措施；期限届满仍未缴纳税款的，经直属海关关长或者其授权的隶属海关关长批准，海关可以书面通知纳税义务人开户银行或者其他金融机构从其暂停支付的存款中扣缴税款，或者依法变卖所扣留的货物或者其他财产，以变卖所得抵缴税款。</w:t>
            </w:r>
          </w:p>
        </w:tc>
      </w:tr>
      <w:tr>
        <w:trPr>
          <w:trHeight w:val="2201"/>
        </w:trPr>
        <w:tc>
          <w:tcPr>
            <w:tcW w:w="780" w:type="dxa"/>
            <w:tcBorders>
              <w:top w:val="single" w:sz="6" w:space="0" w:color="auto"/>
              <w:left w:val="single" w:sz="6" w:space="0" w:color="auto"/>
              <w:bottom w:val="single" w:sz="6" w:space="0" w:color="auto"/>
              <w:right w:val="single" w:sz="6" w:space="0" w:color="auto"/>
              <w:tl2br w:val="nil"/>
              <w:tr2bl w:val="nil"/>
            </w:tcBorders>
            <w:noWrap/>
            <w:vAlign w:val="center"/>
          </w:tcPr>
          <w:p>
            <w:pPr>
              <w:pStyle w:val="74"/>
              <w:spacing w:line="420" w:lineRule="exact"/>
              <w:jc w:val="center"/>
              <w:rPr>
                <w:rFonts w:ascii="Times New Roman" w:hAnsi="Times New Roman"/>
              </w:rPr>
            </w:pPr>
            <w:r>
              <w:rPr>
                <w:rFonts w:ascii="Times New Roman" w:eastAsia="方正仿宋_GBK" w:hAnsi="Times New Roman"/>
                <w:color w:val="000000"/>
                <w:sz w:val="24"/>
                <w:lang w:bidi="ar-SA"/>
              </w:rPr>
              <w:t>4</w:t>
            </w:r>
          </w:p>
        </w:tc>
        <w:tc>
          <w:tcPr>
            <w:tcW w:w="3914" w:type="dxa"/>
            <w:tcBorders>
              <w:top w:val="single" w:sz="6" w:space="0" w:color="auto"/>
              <w:left w:val="single" w:sz="6" w:space="0" w:color="auto"/>
              <w:bottom w:val="single" w:sz="6" w:space="0" w:color="auto"/>
              <w:right w:val="single" w:sz="6" w:space="0" w:color="auto"/>
              <w:tl2br w:val="nil"/>
              <w:tr2bl w:val="nil"/>
            </w:tcBorders>
            <w:noWrap/>
            <w:vAlign w:val="center"/>
          </w:tcPr>
          <w:p>
            <w:pPr>
              <w:pStyle w:val="75"/>
              <w:spacing w:line="420" w:lineRule="exact"/>
              <w:jc w:val="center"/>
              <w:rPr>
                <w:rFonts w:ascii="Times New Roman" w:eastAsia="方正仿宋_GBK" w:hAnsi="Times New Roman"/>
                <w:color w:val="000000"/>
                <w:sz w:val="24"/>
                <w:lang w:bidi="ar-SA"/>
              </w:rPr>
            </w:pPr>
            <w:r>
              <w:rPr>
                <w:rFonts w:ascii="Times New Roman" w:eastAsia="方正仿宋_GBK" w:hAnsi="Times New Roman"/>
                <w:color w:val="000000"/>
                <w:sz w:val="24"/>
                <w:lang w:bidi="ar-SA"/>
              </w:rPr>
              <w:t>《中华人民共和国海关法》</w:t>
            </w:r>
          </w:p>
          <w:p>
            <w:pPr>
              <w:pStyle w:val="75"/>
              <w:spacing w:line="420" w:lineRule="exact"/>
              <w:jc w:val="center"/>
              <w:rPr>
                <w:rFonts w:ascii="Times New Roman" w:hAnsi="Times New Roman"/>
              </w:rPr>
            </w:pPr>
            <w:r>
              <w:rPr>
                <w:rFonts w:ascii="Times New Roman" w:eastAsia="方正仿宋_GBK" w:hAnsi="Times New Roman"/>
                <w:color w:val="000000"/>
                <w:sz w:val="24"/>
                <w:lang w:bidi="ar-SA"/>
              </w:rPr>
              <w:t>第九十二条第一款</w:t>
            </w:r>
          </w:p>
        </w:tc>
        <w:tc>
          <w:tcPr>
            <w:tcW w:w="9240" w:type="dxa"/>
            <w:tcBorders>
              <w:top w:val="single" w:sz="6" w:space="0" w:color="auto"/>
              <w:left w:val="single" w:sz="6" w:space="0" w:color="auto"/>
              <w:bottom w:val="single" w:sz="6" w:space="0" w:color="auto"/>
              <w:right w:val="single" w:sz="6" w:space="0" w:color="auto"/>
              <w:tl2br w:val="nil"/>
              <w:tr2bl w:val="nil"/>
            </w:tcBorders>
            <w:noWrap/>
            <w:vAlign w:val="center"/>
          </w:tcPr>
          <w:p>
            <w:pPr>
              <w:pStyle w:val="76"/>
              <w:spacing w:line="420" w:lineRule="exact"/>
              <w:rPr>
                <w:rFonts w:ascii="Times New Roman" w:hAnsi="Times New Roman"/>
              </w:rPr>
            </w:pPr>
            <w:r>
              <w:rPr>
                <w:rFonts w:ascii="Times New Roman" w:eastAsia="方正仿宋_GBK" w:hAnsi="Times New Roman"/>
                <w:color w:val="000000"/>
                <w:sz w:val="24"/>
                <w:lang w:bidi="ar-SA"/>
              </w:rPr>
              <w:t xml:space="preserve">    海关依法扣留的货物、物品、运输工具，在人民法院判决或者海关处罚决定作出之前，不得处理。但是，危险品或者鲜活、易腐、易失效等不宜长期保存的货物、物品以及所有人申请先行变卖的货物、物品、运输工具，经直属海关关长或者其授权的隶属海关关长批准，可以先行依法变卖，变卖所得价款由海关保存，并通知其所有人。</w:t>
            </w:r>
          </w:p>
        </w:tc>
      </w:tr>
      <w:tr>
        <w:trPr>
          <w:trHeight w:val="2010"/>
        </w:trPr>
        <w:tc>
          <w:tcPr>
            <w:tcW w:w="780" w:type="dxa"/>
            <w:tcBorders>
              <w:top w:val="single" w:sz="6" w:space="0" w:color="auto"/>
              <w:left w:val="single" w:sz="6" w:space="0" w:color="auto"/>
              <w:bottom w:val="single" w:sz="6" w:space="0" w:color="auto"/>
              <w:right w:val="single" w:sz="6" w:space="0" w:color="auto"/>
              <w:tl2br w:val="nil"/>
              <w:tr2bl w:val="nil"/>
            </w:tcBorders>
            <w:noWrap/>
            <w:vAlign w:val="center"/>
          </w:tcPr>
          <w:p>
            <w:pPr>
              <w:pStyle w:val="77"/>
              <w:spacing w:line="420" w:lineRule="exact"/>
              <w:jc w:val="center"/>
              <w:rPr>
                <w:rFonts w:ascii="Times New Roman" w:hAnsi="Times New Roman"/>
              </w:rPr>
            </w:pPr>
            <w:r>
              <w:rPr>
                <w:rFonts w:ascii="Times New Roman" w:eastAsia="方正仿宋_GBK" w:hAnsi="Times New Roman"/>
                <w:color w:val="000000"/>
                <w:sz w:val="24"/>
                <w:lang w:bidi="ar-SA"/>
              </w:rPr>
              <w:t>5</w:t>
            </w:r>
          </w:p>
        </w:tc>
        <w:tc>
          <w:tcPr>
            <w:tcW w:w="3914" w:type="dxa"/>
            <w:tcBorders>
              <w:top w:val="single" w:sz="6" w:space="0" w:color="auto"/>
              <w:left w:val="single" w:sz="6" w:space="0" w:color="auto"/>
              <w:bottom w:val="single" w:sz="6" w:space="0" w:color="auto"/>
              <w:right w:val="single" w:sz="6" w:space="0" w:color="auto"/>
              <w:tl2br w:val="nil"/>
              <w:tr2bl w:val="nil"/>
            </w:tcBorders>
            <w:noWrap/>
            <w:vAlign w:val="center"/>
          </w:tcPr>
          <w:p>
            <w:pPr>
              <w:pStyle w:val="78"/>
              <w:spacing w:line="420" w:lineRule="exact"/>
              <w:jc w:val="center"/>
              <w:rPr>
                <w:rFonts w:ascii="Times New Roman" w:eastAsia="方正仿宋_GBK" w:hAnsi="Times New Roman"/>
                <w:color w:val="000000"/>
                <w:sz w:val="24"/>
                <w:lang w:bidi="ar-SA"/>
              </w:rPr>
            </w:pPr>
            <w:r>
              <w:rPr>
                <w:rFonts w:ascii="Times New Roman" w:eastAsia="方正仿宋_GBK" w:hAnsi="Times New Roman"/>
                <w:color w:val="000000"/>
                <w:sz w:val="24"/>
                <w:lang w:bidi="ar-SA"/>
              </w:rPr>
              <w:t>《中华人民共和国关税法》</w:t>
            </w:r>
          </w:p>
          <w:p>
            <w:pPr>
              <w:pStyle w:val="78"/>
              <w:spacing w:line="420" w:lineRule="exact"/>
              <w:jc w:val="center"/>
              <w:rPr>
                <w:rFonts w:ascii="Times New Roman" w:hAnsi="Times New Roman"/>
              </w:rPr>
            </w:pPr>
            <w:r>
              <w:rPr>
                <w:rFonts w:ascii="Times New Roman" w:eastAsia="方正仿宋_GBK" w:hAnsi="Times New Roman"/>
                <w:color w:val="000000"/>
                <w:sz w:val="24"/>
                <w:lang w:bidi="ar-SA"/>
              </w:rPr>
              <w:t>第四十四条第一款</w:t>
            </w:r>
          </w:p>
        </w:tc>
        <w:tc>
          <w:tcPr>
            <w:tcW w:w="9240" w:type="dxa"/>
            <w:tcBorders>
              <w:top w:val="single" w:sz="6" w:space="0" w:color="auto"/>
              <w:left w:val="single" w:sz="6" w:space="0" w:color="auto"/>
              <w:bottom w:val="single" w:sz="6" w:space="0" w:color="auto"/>
              <w:right w:val="single" w:sz="6" w:space="0" w:color="auto"/>
              <w:tl2br w:val="nil"/>
              <w:tr2bl w:val="nil"/>
            </w:tcBorders>
            <w:noWrap/>
            <w:vAlign w:val="center"/>
          </w:tcPr>
          <w:p>
            <w:pPr>
              <w:pStyle w:val="79"/>
              <w:spacing w:line="420" w:lineRule="exact"/>
              <w:rPr>
                <w:rFonts w:ascii="Times New Roman" w:eastAsia="方正仿宋_GBK" w:hAnsi="Times New Roman"/>
                <w:color w:val="000000"/>
                <w:sz w:val="24"/>
                <w:lang w:bidi="ar-SA"/>
              </w:rPr>
            </w:pPr>
            <w:r>
              <w:rPr>
                <w:rFonts w:ascii="Times New Roman" w:eastAsia="方正仿宋_GBK" w:hAnsi="Times New Roman"/>
                <w:color w:val="000000"/>
                <w:sz w:val="24"/>
                <w:lang w:bidi="ar-SA"/>
              </w:rPr>
              <w:t xml:space="preserve">    进出口货物的纳税人在规定的纳税期限内有转移、藏匿其应税货物以及其他财产的明显迹象，或者存在其他可能导致无法缴纳税款风险的，海关可以责令其提供担保；纳税人不提供担保的，经直属海关关长或者其授权的隶属海关关长批准，海关可以实施下列强制措施：</w:t>
            </w:r>
          </w:p>
          <w:p>
            <w:pPr>
              <w:pStyle w:val="79"/>
              <w:spacing w:line="420" w:lineRule="exact"/>
              <w:rPr>
                <w:rFonts w:ascii="Times New Roman" w:eastAsia="方正仿宋_GBK" w:hAnsi="Times New Roman"/>
                <w:color w:val="000000"/>
                <w:sz w:val="24"/>
                <w:lang w:bidi="ar-SA"/>
              </w:rPr>
            </w:pPr>
            <w:r>
              <w:rPr>
                <w:rFonts w:ascii="Times New Roman" w:eastAsia="方正仿宋_GBK" w:hAnsi="Times New Roman"/>
                <w:color w:val="000000"/>
                <w:sz w:val="24"/>
                <w:lang w:bidi="ar-SA"/>
              </w:rPr>
              <w:t>　　（一）书面通知银行业金融机构冻结纳税人金额相当于应纳税款的存款、汇款；</w:t>
            </w:r>
          </w:p>
          <w:p>
            <w:pPr>
              <w:pStyle w:val="79"/>
              <w:spacing w:line="420" w:lineRule="exact"/>
              <w:rPr>
                <w:rFonts w:ascii="Times New Roman" w:eastAsia="方正仿宋_GBK" w:hAnsi="Times New Roman"/>
                <w:color w:val="000000"/>
                <w:sz w:val="24"/>
                <w:lang w:bidi="ar-SA"/>
              </w:rPr>
            </w:pPr>
            <w:r>
              <w:rPr>
                <w:rFonts w:ascii="Times New Roman" w:eastAsia="方正仿宋_GBK" w:hAnsi="Times New Roman"/>
                <w:color w:val="000000"/>
                <w:sz w:val="24"/>
                <w:lang w:bidi="ar-SA"/>
              </w:rPr>
              <w:t>　　（二）查封、扣押纳税人价值相当于应纳税款的货物或者其他财产。</w:t>
            </w:r>
          </w:p>
        </w:tc>
      </w:tr>
      <w:tr>
        <w:trPr>
          <w:trHeight w:val="3330"/>
        </w:trPr>
        <w:tc>
          <w:tcPr>
            <w:tcW w:w="780" w:type="dxa"/>
            <w:tcBorders>
              <w:top w:val="single" w:sz="6" w:space="0" w:color="auto"/>
              <w:left w:val="single" w:sz="6" w:space="0" w:color="auto"/>
              <w:bottom w:val="single" w:sz="6" w:space="0" w:color="auto"/>
              <w:right w:val="single" w:sz="6" w:space="0" w:color="auto"/>
              <w:tl2br w:val="nil"/>
              <w:tr2bl w:val="nil"/>
            </w:tcBorders>
            <w:noWrap/>
            <w:vAlign w:val="center"/>
          </w:tcPr>
          <w:p>
            <w:pPr>
              <w:pStyle w:val="80"/>
              <w:spacing w:line="420" w:lineRule="exact"/>
              <w:jc w:val="center"/>
              <w:rPr>
                <w:rFonts w:ascii="Times New Roman" w:hAnsi="Times New Roman"/>
              </w:rPr>
            </w:pPr>
            <w:r>
              <w:rPr>
                <w:rFonts w:ascii="Times New Roman" w:eastAsia="方正仿宋_GBK" w:hAnsi="Times New Roman"/>
                <w:color w:val="000000"/>
                <w:sz w:val="24"/>
                <w:lang w:bidi="ar-SA"/>
              </w:rPr>
              <w:t>6</w:t>
            </w:r>
          </w:p>
        </w:tc>
        <w:tc>
          <w:tcPr>
            <w:tcW w:w="3914" w:type="dxa"/>
            <w:tcBorders>
              <w:top w:val="single" w:sz="6" w:space="0" w:color="auto"/>
              <w:left w:val="single" w:sz="6" w:space="0" w:color="auto"/>
              <w:bottom w:val="single" w:sz="6" w:space="0" w:color="auto"/>
              <w:right w:val="single" w:sz="6" w:space="0" w:color="auto"/>
              <w:tl2br w:val="nil"/>
              <w:tr2bl w:val="nil"/>
            </w:tcBorders>
            <w:noWrap/>
            <w:vAlign w:val="center"/>
          </w:tcPr>
          <w:p>
            <w:pPr>
              <w:pStyle w:val="81"/>
              <w:spacing w:line="420" w:lineRule="exact"/>
              <w:jc w:val="center"/>
              <w:rPr>
                <w:rFonts w:ascii="Times New Roman" w:eastAsia="方正仿宋_GBK" w:hAnsi="Times New Roman"/>
                <w:color w:val="000000"/>
                <w:sz w:val="24"/>
                <w:lang w:bidi="ar-SA"/>
              </w:rPr>
            </w:pPr>
            <w:r>
              <w:rPr>
                <w:rFonts w:ascii="Times New Roman" w:eastAsia="方正仿宋_GBK" w:hAnsi="Times New Roman"/>
                <w:color w:val="000000"/>
                <w:sz w:val="24"/>
                <w:lang w:bidi="ar-SA"/>
              </w:rPr>
              <w:t>《中华人民共和国关税法》</w:t>
            </w:r>
          </w:p>
          <w:p>
            <w:pPr>
              <w:pStyle w:val="81"/>
              <w:spacing w:line="420" w:lineRule="exact"/>
              <w:jc w:val="center"/>
              <w:rPr>
                <w:rFonts w:ascii="Times New Roman" w:hAnsi="Times New Roman"/>
              </w:rPr>
            </w:pPr>
            <w:r>
              <w:rPr>
                <w:rFonts w:ascii="Times New Roman" w:eastAsia="方正仿宋_GBK" w:hAnsi="Times New Roman"/>
                <w:color w:val="000000"/>
                <w:sz w:val="24"/>
                <w:lang w:bidi="ar-SA"/>
              </w:rPr>
              <w:t>第五十条第一款</w:t>
            </w:r>
          </w:p>
        </w:tc>
        <w:tc>
          <w:tcPr>
            <w:tcW w:w="9240" w:type="dxa"/>
            <w:tcBorders>
              <w:top w:val="single" w:sz="6" w:space="0" w:color="auto"/>
              <w:left w:val="single" w:sz="6" w:space="0" w:color="auto"/>
              <w:bottom w:val="single" w:sz="6" w:space="0" w:color="auto"/>
              <w:right w:val="single" w:sz="6" w:space="0" w:color="auto"/>
              <w:tl2br w:val="nil"/>
              <w:tr2bl w:val="nil"/>
            </w:tcBorders>
            <w:noWrap/>
            <w:vAlign w:val="center"/>
          </w:tcPr>
          <w:p>
            <w:pPr>
              <w:pStyle w:val="82"/>
              <w:spacing w:line="420" w:lineRule="exact"/>
              <w:rPr>
                <w:rFonts w:ascii="Times New Roman" w:eastAsia="方正仿宋_GBK" w:hAnsi="Times New Roman"/>
                <w:color w:val="000000"/>
                <w:sz w:val="24"/>
                <w:lang w:bidi="ar-SA"/>
              </w:rPr>
            </w:pPr>
            <w:r>
              <w:rPr>
                <w:rFonts w:ascii="Times New Roman" w:eastAsia="方正仿宋_GBK" w:hAnsi="Times New Roman"/>
                <w:color w:val="000000"/>
                <w:sz w:val="24"/>
                <w:lang w:bidi="ar-SA"/>
              </w:rPr>
              <w:t>　  纳税人、扣缴义务人未按照规定的期限缴纳或者解缴税款的，由海关责令其限期缴纳；逾期仍未缴纳且无正当理由的，经直属海关关长或者其授权的隶属海关关长批准，海关可以实施下列强制执行措施：</w:t>
            </w:r>
          </w:p>
          <w:p>
            <w:pPr>
              <w:pStyle w:val="82"/>
              <w:spacing w:line="420" w:lineRule="exact"/>
              <w:rPr>
                <w:rFonts w:ascii="Times New Roman" w:eastAsia="方正仿宋_GBK" w:hAnsi="Times New Roman"/>
                <w:color w:val="000000"/>
                <w:sz w:val="24"/>
                <w:lang w:bidi="ar-SA"/>
              </w:rPr>
            </w:pPr>
            <w:r>
              <w:rPr>
                <w:rFonts w:ascii="Times New Roman" w:eastAsia="方正仿宋_GBK" w:hAnsi="Times New Roman"/>
                <w:color w:val="000000"/>
                <w:sz w:val="24"/>
                <w:lang w:bidi="ar-SA"/>
              </w:rPr>
              <w:t>　　（一）书面通知银行业金融机构划拨纳税人、扣缴义务人金额相当于应纳税款的存款、汇款；</w:t>
            </w:r>
          </w:p>
          <w:p>
            <w:pPr>
              <w:pStyle w:val="82"/>
              <w:spacing w:line="420" w:lineRule="exact"/>
              <w:rPr>
                <w:rFonts w:ascii="Times New Roman" w:eastAsia="方正仿宋_GBK" w:hAnsi="Times New Roman"/>
                <w:color w:val="000000"/>
                <w:sz w:val="24"/>
                <w:lang w:bidi="ar-SA"/>
              </w:rPr>
            </w:pPr>
            <w:r>
              <w:rPr>
                <w:rFonts w:ascii="Times New Roman" w:eastAsia="方正仿宋_GBK" w:hAnsi="Times New Roman"/>
                <w:color w:val="000000"/>
                <w:sz w:val="24"/>
                <w:lang w:bidi="ar-SA"/>
              </w:rPr>
              <w:t>　　（二）查封、扣押纳税人、扣缴义务人价值相当于应纳税款的货物或者其他财产，依法拍卖或者变卖所查封、扣押的货物或者其他财产，以拍卖或者变卖所得抵缴税款，剩余部分退还纳税人、扣缴义务人。</w:t>
            </w:r>
          </w:p>
        </w:tc>
      </w:tr>
      <w:tr>
        <w:trPr>
          <w:trHeight w:val="1709"/>
        </w:trPr>
        <w:tc>
          <w:tcPr>
            <w:tcW w:w="780" w:type="dxa"/>
            <w:tcBorders>
              <w:top w:val="single" w:sz="6" w:space="0" w:color="auto"/>
              <w:left w:val="single" w:sz="6" w:space="0" w:color="auto"/>
              <w:bottom w:val="single" w:sz="6" w:space="0" w:color="auto"/>
              <w:right w:val="single" w:sz="6" w:space="0" w:color="auto"/>
              <w:tl2br w:val="nil"/>
              <w:tr2bl w:val="nil"/>
            </w:tcBorders>
            <w:noWrap/>
            <w:vAlign w:val="center"/>
          </w:tcPr>
          <w:p>
            <w:pPr>
              <w:pStyle w:val="83"/>
              <w:spacing w:line="420" w:lineRule="exact"/>
              <w:jc w:val="center"/>
              <w:rPr>
                <w:rFonts w:ascii="Times New Roman" w:hAnsi="Times New Roman"/>
              </w:rPr>
            </w:pPr>
            <w:r>
              <w:rPr>
                <w:rFonts w:ascii="Times New Roman" w:eastAsia="方正仿宋_GBK" w:hAnsi="Times New Roman"/>
                <w:color w:val="000000"/>
                <w:sz w:val="24"/>
                <w:lang w:bidi="ar-SA"/>
              </w:rPr>
              <w:t>7</w:t>
            </w:r>
          </w:p>
        </w:tc>
        <w:tc>
          <w:tcPr>
            <w:tcW w:w="3914" w:type="dxa"/>
            <w:tcBorders>
              <w:top w:val="single" w:sz="6" w:space="0" w:color="auto"/>
              <w:left w:val="single" w:sz="6" w:space="0" w:color="auto"/>
              <w:bottom w:val="single" w:sz="6" w:space="0" w:color="auto"/>
              <w:right w:val="single" w:sz="6" w:space="0" w:color="auto"/>
              <w:tl2br w:val="nil"/>
              <w:tr2bl w:val="nil"/>
            </w:tcBorders>
            <w:noWrap/>
            <w:vAlign w:val="center"/>
          </w:tcPr>
          <w:p>
            <w:pPr>
              <w:pStyle w:val="123"/>
              <w:spacing w:line="420" w:lineRule="exact"/>
              <w:jc w:val="center"/>
              <w:rPr>
                <w:rFonts w:ascii="Times New Roman" w:hAnsi="Times New Roman"/>
              </w:rPr>
            </w:pPr>
            <w:r>
              <w:rPr>
                <w:rFonts w:ascii="Times New Roman" w:eastAsia="方正仿宋_GBK" w:hAnsi="Times New Roman"/>
                <w:color w:val="000000"/>
                <w:sz w:val="24"/>
                <w:lang w:bidi="ar-SA"/>
              </w:rPr>
              <w:t>《中华人民共和国海关行政处罚实施条例》第四十条</w:t>
            </w:r>
          </w:p>
        </w:tc>
        <w:tc>
          <w:tcPr>
            <w:tcW w:w="9240" w:type="dxa"/>
            <w:tcBorders>
              <w:top w:val="single" w:sz="6" w:space="0" w:color="auto"/>
              <w:left w:val="single" w:sz="6" w:space="0" w:color="auto"/>
              <w:bottom w:val="single" w:sz="6" w:space="0" w:color="auto"/>
              <w:right w:val="single" w:sz="6" w:space="0" w:color="auto"/>
              <w:tl2br w:val="nil"/>
              <w:tr2bl w:val="nil"/>
            </w:tcBorders>
            <w:noWrap/>
            <w:vAlign w:val="center"/>
          </w:tcPr>
          <w:p>
            <w:pPr>
              <w:pStyle w:val="124"/>
              <w:spacing w:line="420" w:lineRule="exact"/>
              <w:rPr>
                <w:rFonts w:ascii="Times New Roman" w:eastAsia="方正仿宋_GBK" w:hAnsi="Times New Roman"/>
                <w:color w:val="000000"/>
                <w:sz w:val="24"/>
                <w:lang w:bidi="ar-SA"/>
              </w:rPr>
            </w:pPr>
            <w:r>
              <w:rPr>
                <w:rFonts w:ascii="Times New Roman" w:eastAsia="方正仿宋_GBK" w:hAnsi="Times New Roman"/>
                <w:color w:val="000000"/>
                <w:sz w:val="24"/>
                <w:lang w:bidi="ar-SA"/>
              </w:rPr>
              <w:t xml:space="preserve">    海关扣留货物、物品、运输工具以及账册、单据等资料的期限不得超过1年。因案件调查需要,经直属海关关长或者其授权的隶属海关关长批准,可以延长,延长期限不得超过1年。但复议、诉讼期间不计算在内。</w:t>
            </w:r>
          </w:p>
        </w:tc>
      </w:tr>
      <w:tr>
        <w:trPr>
          <w:trHeight w:val="1950"/>
        </w:trPr>
        <w:tc>
          <w:tcPr>
            <w:tcW w:w="780" w:type="dxa"/>
            <w:tcBorders>
              <w:top w:val="single" w:sz="6" w:space="0" w:color="auto"/>
              <w:left w:val="single" w:sz="6" w:space="0" w:color="auto"/>
              <w:bottom w:val="single" w:sz="6" w:space="0" w:color="auto"/>
              <w:right w:val="single" w:sz="6" w:space="0" w:color="auto"/>
              <w:tl2br w:val="nil"/>
              <w:tr2bl w:val="nil"/>
            </w:tcBorders>
            <w:noWrap/>
            <w:vAlign w:val="center"/>
          </w:tcPr>
          <w:p>
            <w:pPr>
              <w:pStyle w:val="86"/>
              <w:spacing w:line="420" w:lineRule="exact"/>
              <w:jc w:val="center"/>
              <w:rPr>
                <w:rFonts w:ascii="Times New Roman" w:hAnsi="Times New Roman"/>
              </w:rPr>
            </w:pPr>
            <w:r>
              <w:rPr>
                <w:rFonts w:ascii="Times New Roman" w:eastAsia="方正仿宋_GBK" w:hAnsi="Times New Roman"/>
                <w:color w:val="000000"/>
                <w:sz w:val="24"/>
                <w:lang w:bidi="ar-SA"/>
              </w:rPr>
              <w:t>8</w:t>
            </w:r>
          </w:p>
        </w:tc>
        <w:tc>
          <w:tcPr>
            <w:tcW w:w="3914" w:type="dxa"/>
            <w:tcBorders>
              <w:top w:val="single" w:sz="6" w:space="0" w:color="auto"/>
              <w:left w:val="single" w:sz="6" w:space="0" w:color="auto"/>
              <w:bottom w:val="single" w:sz="6" w:space="0" w:color="auto"/>
              <w:right w:val="single" w:sz="6" w:space="0" w:color="auto"/>
              <w:tl2br w:val="nil"/>
              <w:tr2bl w:val="nil"/>
            </w:tcBorders>
            <w:noWrap/>
            <w:vAlign w:val="center"/>
          </w:tcPr>
          <w:p>
            <w:pPr>
              <w:pStyle w:val="125"/>
              <w:spacing w:line="420" w:lineRule="exact"/>
              <w:jc w:val="center"/>
              <w:rPr>
                <w:rFonts w:ascii="Times New Roman" w:hAnsi="Times New Roman"/>
              </w:rPr>
            </w:pPr>
            <w:r>
              <w:rPr>
                <w:rFonts w:ascii="Times New Roman" w:eastAsia="方正仿宋_GBK" w:hAnsi="Times New Roman"/>
                <w:color w:val="000000"/>
                <w:sz w:val="24"/>
                <w:lang w:bidi="ar-SA"/>
              </w:rPr>
              <w:t>《中华人民共和国海关行政处罚实施条例》第四十七条</w:t>
            </w:r>
          </w:p>
        </w:tc>
        <w:tc>
          <w:tcPr>
            <w:tcW w:w="9240" w:type="dxa"/>
            <w:tcBorders>
              <w:top w:val="single" w:sz="6" w:space="0" w:color="auto"/>
              <w:left w:val="single" w:sz="6" w:space="0" w:color="auto"/>
              <w:bottom w:val="single" w:sz="6" w:space="0" w:color="auto"/>
              <w:right w:val="single" w:sz="6" w:space="0" w:color="auto"/>
              <w:tl2br w:val="nil"/>
              <w:tr2bl w:val="nil"/>
            </w:tcBorders>
            <w:noWrap/>
            <w:vAlign w:val="center"/>
          </w:tcPr>
          <w:p>
            <w:pPr>
              <w:pStyle w:val="126"/>
              <w:spacing w:line="420" w:lineRule="exact"/>
              <w:rPr>
                <w:rFonts w:ascii="Times New Roman" w:eastAsia="方正仿宋_GBK" w:hAnsi="Times New Roman"/>
                <w:color w:val="000000"/>
                <w:sz w:val="24"/>
                <w:lang w:bidi="ar-SA"/>
              </w:rPr>
            </w:pPr>
            <w:r>
              <w:rPr>
                <w:rFonts w:ascii="Times New Roman" w:eastAsia="方正仿宋_GBK" w:hAnsi="Times New Roman"/>
                <w:color w:val="000000"/>
                <w:sz w:val="24"/>
                <w:lang w:bidi="ar-SA"/>
              </w:rPr>
              <w:t xml:space="preserve">    海关依法扣留的货物、物品、运输工具,在人民法院判决或者海关行政处罚决定作出之前,不得处理。但是,危险品或者鲜活、易腐、易烂、易失效、易变质等不宜长期保存的货物、物品以及所有人申请先行变卖的货物、物品、运输工具,经直属海关关长或者其授权的隶属海关关长批准,可以先行依法变卖,变卖所得价款由海关保存,并通知其所有人。</w:t>
            </w:r>
          </w:p>
        </w:tc>
      </w:tr>
      <w:tr>
        <w:trPr>
          <w:trHeight w:val="1950"/>
        </w:trPr>
        <w:tc>
          <w:tcPr>
            <w:tcW w:w="780" w:type="dxa"/>
            <w:tcBorders>
              <w:top w:val="single" w:sz="6" w:space="0" w:color="auto"/>
              <w:left w:val="single" w:sz="6" w:space="0" w:color="auto"/>
              <w:bottom w:val="single" w:sz="6" w:space="0" w:color="auto"/>
              <w:right w:val="single" w:sz="6" w:space="0" w:color="auto"/>
              <w:tl2br w:val="nil"/>
              <w:tr2bl w:val="nil"/>
            </w:tcBorders>
            <w:noWrap/>
            <w:vAlign w:val="center"/>
          </w:tcPr>
          <w:p>
            <w:pPr>
              <w:pStyle w:val="86"/>
              <w:spacing w:line="420" w:lineRule="exact"/>
              <w:jc w:val="center"/>
              <w:rPr>
                <w:rFonts w:ascii="Times New Roman" w:eastAsia="方正仿宋_GBK" w:hAnsi="Times New Roman"/>
                <w:color w:val="000000"/>
                <w:sz w:val="24"/>
                <w:lang w:bidi="ar-SA"/>
              </w:rPr>
            </w:pPr>
            <w:r>
              <w:rPr>
                <w:rFonts w:ascii="Times New Roman" w:eastAsia="方正仿宋_GBK" w:hAnsi="Times New Roman"/>
                <w:color w:val="000000"/>
                <w:sz w:val="24"/>
                <w:lang w:bidi="ar-SA"/>
              </w:rPr>
              <w:t>9</w:t>
            </w:r>
          </w:p>
        </w:tc>
        <w:tc>
          <w:tcPr>
            <w:tcW w:w="3914" w:type="dxa"/>
            <w:tcBorders>
              <w:top w:val="single" w:sz="6" w:space="0" w:color="auto"/>
              <w:left w:val="single" w:sz="6" w:space="0" w:color="auto"/>
              <w:bottom w:val="single" w:sz="6" w:space="0" w:color="auto"/>
              <w:right w:val="single" w:sz="6" w:space="0" w:color="auto"/>
              <w:tl2br w:val="nil"/>
              <w:tr2bl w:val="nil"/>
            </w:tcBorders>
            <w:noWrap/>
            <w:vAlign w:val="center"/>
          </w:tcPr>
          <w:p>
            <w:pPr>
              <w:pStyle w:val="119"/>
              <w:spacing w:line="420" w:lineRule="exact"/>
              <w:jc w:val="center"/>
              <w:rPr>
                <w:rFonts w:ascii="Times New Roman" w:eastAsia="方正仿宋_GBK" w:hAnsi="Times New Roman"/>
                <w:color w:val="000000"/>
                <w:sz w:val="24"/>
                <w:lang w:bidi="ar-SA"/>
              </w:rPr>
            </w:pPr>
            <w:r>
              <w:rPr>
                <w:rFonts w:ascii="Times New Roman" w:eastAsia="方正仿宋_GBK" w:hAnsi="Times New Roman"/>
                <w:color w:val="000000"/>
                <w:sz w:val="24"/>
                <w:lang w:bidi="ar-SA"/>
              </w:rPr>
              <w:t>《中华人民共和国海关稽查条例》</w:t>
            </w:r>
          </w:p>
          <w:p>
            <w:pPr>
              <w:pStyle w:val="119"/>
              <w:spacing w:line="420" w:lineRule="exact"/>
              <w:jc w:val="center"/>
              <w:rPr>
                <w:rFonts w:ascii="Times New Roman" w:hAnsi="Times New Roman"/>
              </w:rPr>
            </w:pPr>
            <w:r>
              <w:rPr>
                <w:rFonts w:ascii="Times New Roman" w:eastAsia="方正仿宋_GBK" w:hAnsi="Times New Roman"/>
                <w:color w:val="000000"/>
                <w:sz w:val="24"/>
                <w:lang w:bidi="ar-SA"/>
              </w:rPr>
              <w:t>第十条</w:t>
            </w:r>
          </w:p>
        </w:tc>
        <w:tc>
          <w:tcPr>
            <w:tcW w:w="9240" w:type="dxa"/>
            <w:tcBorders>
              <w:top w:val="single" w:sz="6" w:space="0" w:color="auto"/>
              <w:left w:val="single" w:sz="6" w:space="0" w:color="auto"/>
              <w:bottom w:val="single" w:sz="6" w:space="0" w:color="auto"/>
              <w:right w:val="single" w:sz="6" w:space="0" w:color="auto"/>
              <w:tl2br w:val="nil"/>
              <w:tr2bl w:val="nil"/>
            </w:tcBorders>
            <w:noWrap/>
            <w:vAlign w:val="center"/>
          </w:tcPr>
          <w:p>
            <w:pPr>
              <w:pStyle w:val="120"/>
              <w:spacing w:line="420" w:lineRule="exact"/>
              <w:rPr>
                <w:rFonts w:ascii="Times New Roman" w:hAnsi="Times New Roman"/>
              </w:rPr>
            </w:pPr>
            <w:r>
              <w:rPr>
                <w:rFonts w:ascii="Times New Roman" w:eastAsia="方正仿宋_GBK" w:hAnsi="Times New Roman"/>
                <w:color w:val="000000"/>
                <w:sz w:val="24"/>
                <w:lang w:bidi="ar-SA"/>
              </w:rPr>
              <w:t xml:space="preserve">    海关进行稽查时，应当在实施稽查的3日前，书面通知被稽查人。在被稽查人有重大违法嫌疑，其账簿、单证等有关资料以及进出口货物可能被转移、隐匿、毁弃等紧急情况下，经直属海关关长或者其授权的隶属海关关长批准，海关可以不经事先通知进行稽查。</w:t>
            </w:r>
          </w:p>
        </w:tc>
      </w:tr>
      <w:tr>
        <w:trPr>
          <w:trHeight w:val="1560"/>
        </w:trPr>
        <w:tc>
          <w:tcPr>
            <w:tcW w:w="780" w:type="dxa"/>
            <w:tcBorders>
              <w:top w:val="single" w:sz="6" w:space="0" w:color="auto"/>
              <w:left w:val="single" w:sz="6" w:space="0" w:color="auto"/>
              <w:bottom w:val="single" w:sz="6" w:space="0" w:color="auto"/>
              <w:right w:val="single" w:sz="6" w:space="0" w:color="auto"/>
              <w:tl2br w:val="nil"/>
              <w:tr2bl w:val="nil"/>
            </w:tcBorders>
            <w:noWrap/>
            <w:vAlign w:val="center"/>
          </w:tcPr>
          <w:p>
            <w:pPr>
              <w:pStyle w:val="86"/>
              <w:spacing w:line="420" w:lineRule="exact"/>
              <w:jc w:val="center"/>
              <w:rPr>
                <w:rFonts w:ascii="Times New Roman" w:eastAsia="方正仿宋_GBK" w:hAnsi="Times New Roman"/>
                <w:color w:val="000000"/>
                <w:sz w:val="24"/>
                <w:lang w:bidi="ar-SA"/>
              </w:rPr>
            </w:pPr>
            <w:r>
              <w:rPr>
                <w:rFonts w:ascii="Times New Roman" w:eastAsia="方正仿宋_GBK" w:hAnsi="Times New Roman"/>
                <w:color w:val="000000"/>
                <w:sz w:val="24"/>
                <w:lang w:bidi="ar-SA"/>
              </w:rPr>
              <w:t>10</w:t>
            </w:r>
          </w:p>
        </w:tc>
        <w:tc>
          <w:tcPr>
            <w:tcW w:w="3914" w:type="dxa"/>
            <w:tcBorders>
              <w:top w:val="single" w:sz="6" w:space="0" w:color="auto"/>
              <w:left w:val="single" w:sz="6" w:space="0" w:color="auto"/>
              <w:bottom w:val="single" w:sz="6" w:space="0" w:color="auto"/>
              <w:right w:val="single" w:sz="6" w:space="0" w:color="auto"/>
              <w:tl2br w:val="nil"/>
              <w:tr2bl w:val="nil"/>
            </w:tcBorders>
            <w:noWrap/>
            <w:vAlign w:val="center"/>
          </w:tcPr>
          <w:p>
            <w:pPr>
              <w:pStyle w:val="121"/>
              <w:spacing w:line="420" w:lineRule="exact"/>
              <w:jc w:val="center"/>
              <w:rPr>
                <w:rFonts w:ascii="Times New Roman" w:eastAsia="方正仿宋_GBK" w:hAnsi="Times New Roman"/>
                <w:color w:val="000000"/>
                <w:sz w:val="24"/>
                <w:lang w:bidi="ar-SA"/>
              </w:rPr>
            </w:pPr>
            <w:r>
              <w:rPr>
                <w:rFonts w:ascii="Times New Roman" w:eastAsia="方正仿宋_GBK" w:hAnsi="Times New Roman"/>
                <w:color w:val="000000"/>
                <w:sz w:val="24"/>
                <w:lang w:bidi="ar-SA"/>
              </w:rPr>
              <w:t>《中华人民共和国海关稽查条例》</w:t>
            </w:r>
          </w:p>
          <w:p>
            <w:pPr>
              <w:pStyle w:val="121"/>
              <w:spacing w:line="420" w:lineRule="exact"/>
              <w:jc w:val="center"/>
              <w:rPr>
                <w:rFonts w:ascii="Times New Roman" w:hAnsi="Times New Roman"/>
              </w:rPr>
            </w:pPr>
            <w:r>
              <w:rPr>
                <w:rFonts w:ascii="Times New Roman" w:eastAsia="方正仿宋_GBK" w:hAnsi="Times New Roman"/>
                <w:color w:val="000000"/>
                <w:sz w:val="24"/>
                <w:lang w:bidi="ar-SA"/>
              </w:rPr>
              <w:t>第十四条第（四）项</w:t>
            </w:r>
          </w:p>
        </w:tc>
        <w:tc>
          <w:tcPr>
            <w:tcW w:w="9240" w:type="dxa"/>
            <w:tcBorders>
              <w:top w:val="single" w:sz="6" w:space="0" w:color="auto"/>
              <w:left w:val="single" w:sz="6" w:space="0" w:color="auto"/>
              <w:bottom w:val="single" w:sz="6" w:space="0" w:color="auto"/>
              <w:right w:val="single" w:sz="6" w:space="0" w:color="auto"/>
              <w:tl2br w:val="nil"/>
              <w:tr2bl w:val="nil"/>
            </w:tcBorders>
            <w:noWrap/>
            <w:vAlign w:val="center"/>
          </w:tcPr>
          <w:p>
            <w:pPr>
              <w:pStyle w:val="120"/>
              <w:spacing w:line="420" w:lineRule="exact"/>
              <w:rPr>
                <w:rFonts w:ascii="Times New Roman" w:eastAsia="方正仿宋_GBK" w:hAnsi="Times New Roman"/>
                <w:color w:val="000000"/>
                <w:sz w:val="24"/>
              </w:rPr>
            </w:pPr>
            <w:r>
              <w:rPr>
                <w:rFonts w:ascii="Times New Roman" w:eastAsia="方正仿宋_GBK" w:hAnsi="Times New Roman"/>
                <w:color w:val="000000"/>
                <w:sz w:val="24"/>
                <w:lang w:bidi="ar-SA"/>
              </w:rPr>
              <w:t xml:space="preserve">    </w:t>
            </w:r>
            <w:r>
              <w:rPr>
                <w:rFonts w:ascii="Times New Roman" w:eastAsia="方正仿宋_GBK" w:hAnsi="Times New Roman"/>
                <w:color w:val="000000"/>
                <w:sz w:val="24"/>
              </w:rPr>
              <w:t>海关进行稽查时，可以行使下列职权：</w:t>
            </w:r>
          </w:p>
          <w:p>
            <w:pPr>
              <w:pStyle w:val="120"/>
              <w:spacing w:line="420" w:lineRule="exact"/>
              <w:rPr>
                <w:rFonts w:ascii="Times New Roman" w:hAnsi="Times New Roman"/>
              </w:rPr>
            </w:pPr>
            <w:r>
              <w:rPr>
                <w:rFonts w:ascii="Times New Roman" w:eastAsia="方正仿宋_GBK" w:hAnsi="Times New Roman"/>
                <w:color w:val="000000"/>
                <w:sz w:val="24"/>
              </w:rPr>
              <w:t>　　（四）经直属海关关长或者其授权的隶属海关关长批准，查询被稽查人在商业银行或者其他金融机构的存款账户。</w:t>
            </w:r>
          </w:p>
        </w:tc>
      </w:tr>
      <w:tr>
        <w:trPr>
          <w:trHeight w:val="2220"/>
        </w:trPr>
        <w:tc>
          <w:tcPr>
            <w:tcW w:w="780" w:type="dxa"/>
            <w:tcBorders>
              <w:top w:val="single" w:sz="6" w:space="0" w:color="auto"/>
              <w:left w:val="single" w:sz="6" w:space="0" w:color="auto"/>
              <w:bottom w:val="single" w:sz="6" w:space="0" w:color="auto"/>
              <w:right w:val="single" w:sz="6" w:space="0" w:color="auto"/>
              <w:tl2br w:val="nil"/>
              <w:tr2bl w:val="nil"/>
            </w:tcBorders>
            <w:noWrap/>
            <w:vAlign w:val="center"/>
          </w:tcPr>
          <w:p>
            <w:pPr>
              <w:pStyle w:val="98"/>
              <w:spacing w:line="420" w:lineRule="exact"/>
              <w:jc w:val="center"/>
              <w:rPr>
                <w:rFonts w:ascii="Times New Roman" w:hAnsi="Times New Roman"/>
              </w:rPr>
            </w:pPr>
            <w:r>
              <w:rPr>
                <w:rFonts w:ascii="Times New Roman" w:eastAsia="方正仿宋_GBK" w:hAnsi="Times New Roman"/>
                <w:color w:val="000000"/>
                <w:sz w:val="24"/>
                <w:lang w:bidi="ar-SA"/>
              </w:rPr>
              <w:t>11</w:t>
            </w:r>
          </w:p>
        </w:tc>
        <w:tc>
          <w:tcPr>
            <w:tcW w:w="3914" w:type="dxa"/>
            <w:tcBorders>
              <w:top w:val="single" w:sz="6" w:space="0" w:color="auto"/>
              <w:left w:val="single" w:sz="6" w:space="0" w:color="auto"/>
              <w:bottom w:val="single" w:sz="6" w:space="0" w:color="auto"/>
              <w:right w:val="single" w:sz="6" w:space="0" w:color="auto"/>
              <w:tl2br w:val="nil"/>
              <w:tr2bl w:val="nil"/>
            </w:tcBorders>
            <w:noWrap/>
            <w:vAlign w:val="center"/>
          </w:tcPr>
          <w:p>
            <w:pPr>
              <w:pStyle w:val="99"/>
              <w:spacing w:line="420" w:lineRule="exact"/>
              <w:jc w:val="center"/>
              <w:rPr>
                <w:rFonts w:ascii="Times New Roman" w:hAnsi="Times New Roman"/>
              </w:rPr>
            </w:pPr>
            <w:r>
              <w:rPr>
                <w:rFonts w:ascii="Times New Roman" w:eastAsia="方正仿宋_GBK" w:hAnsi="Times New Roman"/>
                <w:color w:val="000000"/>
                <w:sz w:val="24"/>
                <w:lang w:bidi="ar-SA"/>
              </w:rPr>
              <w:t>《中华人民共和国海关实施人身扣留规定》第十三条</w:t>
            </w:r>
          </w:p>
        </w:tc>
        <w:tc>
          <w:tcPr>
            <w:tcW w:w="9240" w:type="dxa"/>
            <w:tcBorders>
              <w:top w:val="single" w:sz="6" w:space="0" w:color="auto"/>
              <w:left w:val="single" w:sz="6" w:space="0" w:color="auto"/>
              <w:bottom w:val="single" w:sz="6" w:space="0" w:color="auto"/>
              <w:right w:val="single" w:sz="6" w:space="0" w:color="auto"/>
              <w:tl2br w:val="nil"/>
              <w:tr2bl w:val="nil"/>
            </w:tcBorders>
            <w:noWrap/>
            <w:vAlign w:val="center"/>
          </w:tcPr>
          <w:p>
            <w:pPr>
              <w:pStyle w:val="100"/>
              <w:spacing w:line="420" w:lineRule="exact"/>
              <w:rPr>
                <w:rFonts w:ascii="Times New Roman" w:eastAsia="方正仿宋_GBK" w:hAnsi="Times New Roman"/>
                <w:color w:val="000000"/>
                <w:sz w:val="24"/>
                <w:lang w:bidi="ar-SA"/>
              </w:rPr>
            </w:pPr>
            <w:r>
              <w:rPr>
                <w:rFonts w:ascii="Times New Roman" w:eastAsia="方正仿宋_GBK" w:hAnsi="Times New Roman"/>
                <w:color w:val="000000"/>
                <w:sz w:val="24"/>
                <w:lang w:bidi="ar-SA"/>
              </w:rPr>
              <w:t xml:space="preserve">    对符合本规定第六条所列情形，确有必要实施扣留的走私犯罪嫌疑人，经直属海关关长或者其授权的隶属海关关长批准，海关制发《扣留决定书》实施扣留。《扣留决定书》应当注明扣留起始时间，并由被扣留人签字或者捺指印。被扣留人拒不签字或者捺指印的，应当予以注明。</w:t>
            </w:r>
          </w:p>
        </w:tc>
      </w:tr>
      <w:tr>
        <w:trPr>
          <w:trHeight w:val="1830"/>
        </w:trPr>
        <w:tc>
          <w:tcPr>
            <w:tcW w:w="780" w:type="dxa"/>
            <w:tcBorders>
              <w:top w:val="single" w:sz="6" w:space="0" w:color="auto"/>
              <w:left w:val="single" w:sz="6" w:space="0" w:color="auto"/>
              <w:bottom w:val="single" w:sz="6" w:space="0" w:color="auto"/>
              <w:right w:val="single" w:sz="6" w:space="0" w:color="auto"/>
              <w:tl2br w:val="nil"/>
              <w:tr2bl w:val="nil"/>
            </w:tcBorders>
            <w:noWrap/>
            <w:vAlign w:val="center"/>
          </w:tcPr>
          <w:p>
            <w:pPr>
              <w:pStyle w:val="101"/>
              <w:spacing w:line="420" w:lineRule="exact"/>
              <w:jc w:val="center"/>
              <w:rPr>
                <w:rFonts w:ascii="Times New Roman" w:hAnsi="Times New Roman"/>
              </w:rPr>
            </w:pPr>
            <w:r>
              <w:rPr>
                <w:rFonts w:ascii="Times New Roman" w:eastAsia="方正仿宋_GBK" w:hAnsi="Times New Roman"/>
                <w:color w:val="000000"/>
                <w:sz w:val="24"/>
                <w:lang w:bidi="ar-SA"/>
              </w:rPr>
              <w:t>12</w:t>
            </w:r>
          </w:p>
        </w:tc>
        <w:tc>
          <w:tcPr>
            <w:tcW w:w="3914" w:type="dxa"/>
            <w:tcBorders>
              <w:top w:val="single" w:sz="6" w:space="0" w:color="auto"/>
              <w:left w:val="single" w:sz="6" w:space="0" w:color="auto"/>
              <w:bottom w:val="single" w:sz="6" w:space="0" w:color="auto"/>
              <w:right w:val="single" w:sz="6" w:space="0" w:color="auto"/>
              <w:tl2br w:val="nil"/>
              <w:tr2bl w:val="nil"/>
            </w:tcBorders>
            <w:noWrap/>
            <w:vAlign w:val="center"/>
          </w:tcPr>
          <w:p>
            <w:pPr>
              <w:pStyle w:val="102"/>
              <w:spacing w:line="420" w:lineRule="exact"/>
              <w:jc w:val="center"/>
              <w:rPr>
                <w:rFonts w:ascii="Times New Roman" w:hAnsi="Times New Roman"/>
              </w:rPr>
            </w:pPr>
            <w:r>
              <w:rPr>
                <w:rFonts w:ascii="Times New Roman" w:eastAsia="方正仿宋_GBK" w:hAnsi="Times New Roman"/>
                <w:color w:val="000000"/>
                <w:sz w:val="24"/>
                <w:lang w:bidi="ar-SA"/>
              </w:rPr>
              <w:t>《中华人民共和国海关实施人身扣留规定》第十九条</w:t>
            </w:r>
          </w:p>
        </w:tc>
        <w:tc>
          <w:tcPr>
            <w:tcW w:w="9240" w:type="dxa"/>
            <w:tcBorders>
              <w:top w:val="single" w:sz="6" w:space="0" w:color="auto"/>
              <w:left w:val="single" w:sz="6" w:space="0" w:color="auto"/>
              <w:bottom w:val="single" w:sz="6" w:space="0" w:color="auto"/>
              <w:right w:val="single" w:sz="6" w:space="0" w:color="auto"/>
              <w:tl2br w:val="nil"/>
              <w:tr2bl w:val="nil"/>
            </w:tcBorders>
            <w:noWrap/>
            <w:vAlign w:val="center"/>
          </w:tcPr>
          <w:p>
            <w:pPr>
              <w:pStyle w:val="103"/>
              <w:spacing w:line="420" w:lineRule="exact"/>
              <w:rPr>
                <w:rFonts w:ascii="Times New Roman" w:hAnsi="Times New Roman"/>
              </w:rPr>
            </w:pPr>
            <w:r>
              <w:rPr>
                <w:rFonts w:ascii="Times New Roman" w:eastAsia="方正仿宋_GBK" w:hAnsi="Times New Roman"/>
                <w:color w:val="000000"/>
                <w:sz w:val="24"/>
              </w:rPr>
              <w:t xml:space="preserve">    对符合本规定第十条所列条件，确有必要将扣留时间从24小时延长至48小时的，在实施扣留的24小时届满之前，经直属海关关长或者其授权的隶属海关关长批准，海关制发《中华人民共和国海关延长扣留走私犯罪嫌疑人期限决定书》（见附件2，以下简称《延长扣留决定书》）。由被扣留人在《延长扣留决定书》上签名或者捺指印，被扣留人拒绝签名或者捺指印的，应当予以注明。</w:t>
            </w:r>
          </w:p>
        </w:tc>
      </w:tr>
      <w:tr>
        <w:trPr>
          <w:trHeight w:val="1830"/>
        </w:trPr>
        <w:tc>
          <w:tcPr>
            <w:tcW w:w="780" w:type="dxa"/>
            <w:tcBorders>
              <w:top w:val="single" w:sz="6" w:space="0" w:color="auto"/>
              <w:left w:val="single" w:sz="6" w:space="0" w:color="auto"/>
              <w:bottom w:val="single" w:sz="6" w:space="0" w:color="auto"/>
              <w:right w:val="single" w:sz="6" w:space="0" w:color="auto"/>
              <w:tl2br w:val="nil"/>
              <w:tr2bl w:val="nil"/>
            </w:tcBorders>
            <w:noWrap/>
            <w:vAlign w:val="center"/>
          </w:tcPr>
          <w:p>
            <w:pPr>
              <w:pStyle w:val="101"/>
              <w:spacing w:line="420" w:lineRule="exact"/>
              <w:jc w:val="center"/>
              <w:rPr>
                <w:rFonts w:ascii="Times New Roman" w:eastAsia="方正仿宋_GBK" w:hAnsi="Times New Roman"/>
                <w:color w:val="000000"/>
                <w:sz w:val="24"/>
                <w:lang w:bidi="ar-SA"/>
              </w:rPr>
            </w:pPr>
            <w:r>
              <w:rPr>
                <w:rFonts w:ascii="Times New Roman" w:eastAsia="方正仿宋_GBK" w:hAnsi="Times New Roman"/>
                <w:color w:val="000000"/>
                <w:sz w:val="24"/>
                <w:lang w:bidi="ar-SA"/>
              </w:rPr>
              <w:t>13</w:t>
            </w:r>
          </w:p>
        </w:tc>
        <w:tc>
          <w:tcPr>
            <w:tcW w:w="3914" w:type="dxa"/>
            <w:tcBorders>
              <w:top w:val="single" w:sz="6" w:space="0" w:color="auto"/>
              <w:left w:val="single" w:sz="6" w:space="0" w:color="auto"/>
              <w:bottom w:val="single" w:sz="6" w:space="0" w:color="auto"/>
              <w:right w:val="single" w:sz="6" w:space="0" w:color="auto"/>
              <w:tl2br w:val="nil"/>
              <w:tr2bl w:val="nil"/>
            </w:tcBorders>
            <w:noWrap/>
            <w:vAlign w:val="center"/>
          </w:tcPr>
          <w:p>
            <w:pPr>
              <w:pStyle w:val="127"/>
              <w:spacing w:line="420" w:lineRule="exact"/>
              <w:jc w:val="center"/>
              <w:rPr>
                <w:rFonts w:ascii="Times New Roman" w:hAnsi="Times New Roman"/>
              </w:rPr>
            </w:pPr>
            <w:r>
              <w:rPr>
                <w:rFonts w:ascii="Times New Roman" w:eastAsia="方正仿宋_GBK" w:hAnsi="Times New Roman"/>
                <w:color w:val="000000"/>
                <w:sz w:val="24"/>
                <w:lang w:bidi="ar-SA"/>
              </w:rPr>
              <w:t>《中华人民共和国海关确定进出口货物计税价格办法》第四十三条第一款第（五）项</w:t>
            </w:r>
          </w:p>
        </w:tc>
        <w:tc>
          <w:tcPr>
            <w:tcW w:w="9240" w:type="dxa"/>
            <w:tcBorders>
              <w:top w:val="single" w:sz="6" w:space="0" w:color="auto"/>
              <w:left w:val="single" w:sz="6" w:space="0" w:color="auto"/>
              <w:bottom w:val="single" w:sz="6" w:space="0" w:color="auto"/>
              <w:right w:val="single" w:sz="6" w:space="0" w:color="auto"/>
              <w:tl2br w:val="nil"/>
              <w:tr2bl w:val="nil"/>
            </w:tcBorders>
            <w:noWrap/>
            <w:vAlign w:val="center"/>
          </w:tcPr>
          <w:p>
            <w:pPr>
              <w:pStyle w:val="128"/>
              <w:spacing w:line="420" w:lineRule="exact"/>
              <w:ind w:firstLine="477"/>
              <w:rPr>
                <w:rFonts w:ascii="Times New Roman" w:eastAsia="方正仿宋_GBK" w:hAnsi="Times New Roman"/>
                <w:color w:val="000000"/>
                <w:sz w:val="24"/>
                <w:lang w:bidi="ar-SA"/>
              </w:rPr>
            </w:pPr>
            <w:r>
              <w:rPr>
                <w:rFonts w:ascii="Times New Roman" w:eastAsia="方正仿宋_GBK" w:hAnsi="Times New Roman"/>
                <w:color w:val="000000"/>
                <w:sz w:val="24"/>
                <w:lang w:bidi="ar-SA"/>
              </w:rPr>
              <w:t>海关为确定申报价格的真实性、准确性，可以行使下列职权进行价格核查：</w:t>
            </w:r>
          </w:p>
          <w:p>
            <w:pPr>
              <w:pStyle w:val="128"/>
              <w:spacing w:line="420" w:lineRule="exact"/>
              <w:ind w:firstLine="477"/>
              <w:rPr>
                <w:rFonts w:ascii="Times New Roman" w:eastAsia="方正仿宋_GBK" w:hAnsi="Times New Roman"/>
                <w:color w:val="000000"/>
                <w:sz w:val="24"/>
                <w:lang w:bidi="ar-SA"/>
              </w:rPr>
            </w:pPr>
            <w:r>
              <w:rPr>
                <w:rFonts w:ascii="Times New Roman" w:eastAsia="方正仿宋_GBK" w:hAnsi="Times New Roman"/>
                <w:color w:val="000000"/>
                <w:sz w:val="24"/>
                <w:lang w:bidi="ar-SA"/>
              </w:rPr>
              <w:t>（五）经直属海关关长或者其授权的隶属海关关长批准，凭《中华人民共和国海关账户查询通知书》（见附件1）及有关海关工作人员的工作证件，可以查询纳税人在银行或者其他金融机构开立的单位账户的资金往来情况，并且向银行业监督管理机构通报有关情况；</w:t>
            </w:r>
          </w:p>
        </w:tc>
      </w:tr>
      <w:tr>
        <w:trPr>
          <w:trHeight w:val="1652"/>
        </w:trPr>
        <w:tc>
          <w:tcPr>
            <w:tcW w:w="780" w:type="dxa"/>
            <w:tcBorders>
              <w:top w:val="single" w:sz="6" w:space="0" w:color="auto"/>
              <w:left w:val="single" w:sz="6" w:space="0" w:color="auto"/>
              <w:bottom w:val="single" w:sz="6" w:space="0" w:color="auto"/>
              <w:right w:val="single" w:sz="6" w:space="0" w:color="auto"/>
              <w:tl2br w:val="nil"/>
              <w:tr2bl w:val="nil"/>
            </w:tcBorders>
            <w:noWrap/>
            <w:vAlign w:val="center"/>
          </w:tcPr>
          <w:p>
            <w:pPr>
              <w:pStyle w:val="104"/>
              <w:spacing w:line="420" w:lineRule="exact"/>
              <w:jc w:val="center"/>
              <w:rPr>
                <w:rFonts w:ascii="Times New Roman" w:hAnsi="Times New Roman"/>
              </w:rPr>
            </w:pPr>
            <w:r>
              <w:rPr>
                <w:rFonts w:ascii="Times New Roman" w:eastAsia="方正仿宋_GBK" w:hAnsi="Times New Roman"/>
                <w:color w:val="000000"/>
                <w:sz w:val="24"/>
                <w:lang w:bidi="ar-SA"/>
              </w:rPr>
              <w:t>14</w:t>
            </w:r>
          </w:p>
        </w:tc>
        <w:tc>
          <w:tcPr>
            <w:tcW w:w="3914"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05"/>
              <w:spacing w:line="420" w:lineRule="exact"/>
              <w:jc w:val="center"/>
              <w:rPr>
                <w:rFonts w:ascii="Times New Roman" w:hAnsi="Times New Roman"/>
              </w:rPr>
            </w:pPr>
            <w:r>
              <w:rPr>
                <w:rFonts w:ascii="Times New Roman" w:eastAsia="方正仿宋_GBK" w:hAnsi="Times New Roman"/>
                <w:color w:val="000000"/>
                <w:sz w:val="24"/>
                <w:lang w:bidi="ar-SA"/>
              </w:rPr>
              <w:t>《中华人民共和国海关办理行政处罚案件程序规定》第四十五条第一款</w:t>
            </w:r>
          </w:p>
        </w:tc>
        <w:tc>
          <w:tcPr>
            <w:tcW w:w="924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06"/>
              <w:spacing w:line="420" w:lineRule="exact"/>
              <w:rPr>
                <w:rFonts w:ascii="Times New Roman" w:hAnsi="Times New Roman"/>
              </w:rPr>
            </w:pPr>
            <w:r>
              <w:rPr>
                <w:rFonts w:ascii="Times New Roman" w:eastAsia="方正仿宋_GBK" w:hAnsi="Times New Roman"/>
                <w:color w:val="000000"/>
                <w:sz w:val="24"/>
              </w:rPr>
              <w:t xml:space="preserve">    在调查走私案件时，执法人员查询案件涉嫌单位和涉嫌人员在金融机构、邮政企业的存款、汇款，应当经直属海关关长或者其授权的隶属海关关长批准。　　</w:t>
            </w:r>
          </w:p>
        </w:tc>
      </w:tr>
      <w:tr>
        <w:trPr>
          <w:trHeight w:val="1530"/>
        </w:trPr>
        <w:tc>
          <w:tcPr>
            <w:tcW w:w="780" w:type="dxa"/>
            <w:tcBorders>
              <w:top w:val="single" w:sz="6" w:space="0" w:color="auto"/>
              <w:left w:val="single" w:sz="6" w:space="0" w:color="auto"/>
              <w:bottom w:val="single" w:sz="6" w:space="0" w:color="auto"/>
              <w:right w:val="single" w:sz="6" w:space="0" w:color="auto"/>
              <w:tl2br w:val="nil"/>
              <w:tr2bl w:val="nil"/>
            </w:tcBorders>
            <w:noWrap/>
            <w:vAlign w:val="center"/>
          </w:tcPr>
          <w:p>
            <w:pPr>
              <w:pStyle w:val="107"/>
              <w:spacing w:line="420" w:lineRule="exact"/>
              <w:jc w:val="center"/>
              <w:rPr>
                <w:rFonts w:ascii="Times New Roman" w:hAnsi="Times New Roman"/>
              </w:rPr>
            </w:pPr>
            <w:r>
              <w:rPr>
                <w:rFonts w:ascii="Times New Roman" w:eastAsia="方正仿宋_GBK" w:hAnsi="Times New Roman"/>
                <w:color w:val="000000"/>
                <w:sz w:val="24"/>
                <w:lang w:bidi="ar-SA"/>
              </w:rPr>
              <w:t>15</w:t>
            </w:r>
          </w:p>
        </w:tc>
        <w:tc>
          <w:tcPr>
            <w:tcW w:w="3914"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08"/>
              <w:spacing w:line="420" w:lineRule="exact"/>
              <w:jc w:val="center"/>
              <w:rPr>
                <w:rFonts w:ascii="Times New Roman" w:hAnsi="Times New Roman"/>
              </w:rPr>
            </w:pPr>
            <w:r>
              <w:rPr>
                <w:rFonts w:ascii="Times New Roman" w:eastAsia="方正仿宋_GBK" w:hAnsi="Times New Roman"/>
                <w:color w:val="000000"/>
                <w:sz w:val="24"/>
                <w:lang w:bidi="ar-SA"/>
              </w:rPr>
              <w:t>《中华人民共和国海关办理行政处罚案件程序规定》第四十七条第一款</w:t>
            </w:r>
          </w:p>
        </w:tc>
        <w:tc>
          <w:tcPr>
            <w:tcW w:w="924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pStyle w:val="109"/>
              <w:spacing w:line="420" w:lineRule="exact"/>
              <w:rPr>
                <w:rFonts w:ascii="Times New Roman" w:hAnsi="Times New Roman"/>
              </w:rPr>
            </w:pPr>
            <w:r>
              <w:rPr>
                <w:rFonts w:ascii="Times New Roman" w:eastAsia="方正仿宋_GBK" w:hAnsi="Times New Roman"/>
                <w:color w:val="000000"/>
                <w:sz w:val="24"/>
                <w:lang w:bidi="ar-SA"/>
              </w:rPr>
              <w:t xml:space="preserve">    海关依法扣留的货物、物品、运输工具，在人民法院判决或者海关行政处罚决定作出之前，不得处理。但是，危险品或者鲜活、易腐、易烂、易失效、易变质等不宜长期保存的货物、物品以及所有人申请先行变卖的货物、物品、运输工具，经直属海关关长或者其授权的隶属海关关长批准，可以先行依法变卖，变卖所得价款由海关保存；依照法律、行政法规的规定，应当采取退运、销毁、无害化处理等措施的货物、物品，可以依法先行处置。</w:t>
            </w:r>
          </w:p>
        </w:tc>
      </w:tr>
      <w:tr>
        <w:trPr>
          <w:trHeight w:val="1577"/>
        </w:trPr>
        <w:tc>
          <w:tcPr>
            <w:tcW w:w="780" w:type="dxa"/>
            <w:tcBorders>
              <w:top w:val="single" w:sz="6" w:space="0" w:color="auto"/>
              <w:left w:val="single" w:sz="6" w:space="0" w:color="auto"/>
              <w:bottom w:val="single" w:sz="6" w:space="0" w:color="auto"/>
              <w:right w:val="single" w:sz="6" w:space="0" w:color="auto"/>
              <w:tl2br w:val="nil"/>
              <w:tr2bl w:val="nil"/>
            </w:tcBorders>
            <w:noWrap/>
            <w:vAlign w:val="center"/>
          </w:tcPr>
          <w:p>
            <w:pPr>
              <w:pStyle w:val="110"/>
              <w:spacing w:line="420" w:lineRule="exact"/>
              <w:jc w:val="center"/>
              <w:rPr>
                <w:rFonts w:ascii="Times New Roman" w:hAnsi="Times New Roman"/>
              </w:rPr>
            </w:pPr>
            <w:r>
              <w:rPr>
                <w:rFonts w:ascii="Times New Roman" w:eastAsia="方正仿宋_GBK" w:hAnsi="Times New Roman"/>
                <w:color w:val="000000"/>
                <w:sz w:val="24"/>
                <w:lang w:bidi="ar-SA"/>
              </w:rPr>
              <w:t>16</w:t>
            </w:r>
          </w:p>
        </w:tc>
        <w:tc>
          <w:tcPr>
            <w:tcW w:w="3914" w:type="dxa"/>
            <w:tcBorders>
              <w:top w:val="single" w:sz="6" w:space="0" w:color="auto"/>
              <w:left w:val="single" w:sz="6" w:space="0" w:color="auto"/>
              <w:bottom w:val="single" w:sz="6" w:space="0" w:color="auto"/>
              <w:right w:val="single" w:sz="6" w:space="0" w:color="auto"/>
              <w:tl2br w:val="nil"/>
              <w:tr2bl w:val="nil"/>
            </w:tcBorders>
            <w:noWrap/>
            <w:vAlign w:val="center"/>
          </w:tcPr>
          <w:p>
            <w:pPr>
              <w:pStyle w:val="111"/>
              <w:spacing w:line="420" w:lineRule="exact"/>
              <w:jc w:val="center"/>
              <w:rPr>
                <w:rFonts w:ascii="Times New Roman" w:hAnsi="Times New Roman"/>
              </w:rPr>
            </w:pPr>
            <w:r>
              <w:rPr>
                <w:rFonts w:ascii="Times New Roman" w:eastAsia="方正仿宋_GBK" w:hAnsi="Times New Roman"/>
                <w:color w:val="auto"/>
                <w:sz w:val="24"/>
                <w:lang w:bidi="ar-SA"/>
              </w:rPr>
              <w:t>《中华人民共和国海关加工贸易货物监管办法》第三十条第二款</w:t>
            </w:r>
          </w:p>
        </w:tc>
        <w:tc>
          <w:tcPr>
            <w:tcW w:w="9240" w:type="dxa"/>
            <w:tcBorders>
              <w:top w:val="single" w:sz="6" w:space="0" w:color="auto"/>
              <w:left w:val="single" w:sz="6" w:space="0" w:color="auto"/>
              <w:bottom w:val="single" w:sz="6" w:space="0" w:color="auto"/>
              <w:right w:val="single" w:sz="6" w:space="0" w:color="auto"/>
              <w:tl2br w:val="nil"/>
              <w:tr2bl w:val="nil"/>
            </w:tcBorders>
            <w:noWrap/>
            <w:vAlign w:val="center"/>
          </w:tcPr>
          <w:p>
            <w:pPr>
              <w:pStyle w:val="112"/>
              <w:spacing w:line="420" w:lineRule="exact"/>
              <w:rPr>
                <w:rFonts w:ascii="Times New Roman" w:hAnsi="Times New Roman"/>
              </w:rPr>
            </w:pPr>
            <w:r>
              <w:rPr>
                <w:rFonts w:ascii="Times New Roman" w:eastAsia="方正仿宋_GBK" w:hAnsi="Times New Roman"/>
                <w:color w:val="auto"/>
                <w:sz w:val="24"/>
                <w:lang w:bidi="ar-SA"/>
              </w:rPr>
              <w:t xml:space="preserve">    海关应当自受理报核之日起30日内予以核销。特殊情况需要延长的，经直属海关关长或者其授权的隶属海关关长批准可以延长30日。</w:t>
            </w:r>
          </w:p>
        </w:tc>
      </w:tr>
      <w:tr>
        <w:trPr>
          <w:trHeight w:val="1575"/>
        </w:trPr>
        <w:tc>
          <w:tcPr>
            <w:tcW w:w="780" w:type="dxa"/>
            <w:tcBorders>
              <w:top w:val="single" w:sz="6" w:space="0" w:color="auto"/>
              <w:left w:val="single" w:sz="6" w:space="0" w:color="auto"/>
              <w:bottom w:val="single" w:sz="6" w:space="0" w:color="auto"/>
              <w:right w:val="single" w:sz="6" w:space="0" w:color="auto"/>
              <w:tl2br w:val="nil"/>
              <w:tr2bl w:val="nil"/>
            </w:tcBorders>
            <w:noWrap/>
            <w:vAlign w:val="center"/>
          </w:tcPr>
          <w:p>
            <w:pPr>
              <w:pStyle w:val="113"/>
              <w:spacing w:line="420" w:lineRule="exact"/>
              <w:jc w:val="center"/>
              <w:rPr>
                <w:rFonts w:ascii="Times New Roman" w:hAnsi="Times New Roman"/>
              </w:rPr>
            </w:pPr>
            <w:r>
              <w:rPr>
                <w:rFonts w:ascii="Times New Roman" w:eastAsia="方正仿宋_GBK" w:hAnsi="Times New Roman"/>
                <w:color w:val="000000"/>
                <w:sz w:val="24"/>
                <w:lang w:bidi="ar-SA"/>
              </w:rPr>
              <w:t>17</w:t>
            </w:r>
          </w:p>
        </w:tc>
        <w:tc>
          <w:tcPr>
            <w:tcW w:w="3914" w:type="dxa"/>
            <w:tcBorders>
              <w:top w:val="single" w:sz="6" w:space="0" w:color="auto"/>
              <w:left w:val="single" w:sz="6" w:space="0" w:color="auto"/>
              <w:bottom w:val="single" w:sz="6" w:space="0" w:color="auto"/>
              <w:right w:val="single" w:sz="6" w:space="0" w:color="auto"/>
              <w:tl2br w:val="nil"/>
              <w:tr2bl w:val="nil"/>
            </w:tcBorders>
            <w:noWrap/>
            <w:vAlign w:val="center"/>
          </w:tcPr>
          <w:p>
            <w:pPr>
              <w:pStyle w:val="114"/>
              <w:spacing w:line="420" w:lineRule="exact"/>
              <w:jc w:val="center"/>
              <w:rPr>
                <w:rFonts w:ascii="Times New Roman" w:hAnsi="Times New Roman"/>
              </w:rPr>
            </w:pPr>
            <w:r>
              <w:rPr>
                <w:rFonts w:ascii="Times New Roman" w:eastAsia="方正仿宋_GBK" w:hAnsi="Times New Roman"/>
                <w:color w:val="auto"/>
                <w:sz w:val="24"/>
                <w:lang w:bidi="ar-SA"/>
              </w:rPr>
              <w:t>《中华人民共和国海关进出口货物征税管理办法》第七十一条第一款</w:t>
            </w:r>
          </w:p>
        </w:tc>
        <w:tc>
          <w:tcPr>
            <w:tcW w:w="9240" w:type="dxa"/>
            <w:tcBorders>
              <w:top w:val="single" w:sz="6" w:space="0" w:color="auto"/>
              <w:left w:val="single" w:sz="6" w:space="0" w:color="auto"/>
              <w:bottom w:val="single" w:sz="6" w:space="0" w:color="auto"/>
              <w:right w:val="single" w:sz="6" w:space="0" w:color="auto"/>
              <w:tl2br w:val="nil"/>
              <w:tr2bl w:val="nil"/>
            </w:tcBorders>
            <w:noWrap/>
            <w:vAlign w:val="center"/>
          </w:tcPr>
          <w:p>
            <w:pPr>
              <w:pStyle w:val="115"/>
              <w:spacing w:line="420" w:lineRule="exact"/>
              <w:ind w:firstLine="483"/>
              <w:rPr>
                <w:rFonts w:ascii="Times New Roman" w:eastAsia="方正仿宋_GBK" w:hAnsi="Times New Roman"/>
                <w:sz w:val="24"/>
              </w:rPr>
            </w:pPr>
            <w:r>
              <w:rPr>
                <w:rFonts w:ascii="Times New Roman" w:eastAsia="方正仿宋_GBK" w:hAnsi="Times New Roman"/>
                <w:sz w:val="24"/>
              </w:rPr>
              <w:t>纳税人在规定的纳税期限内有转移、藏匿其应税货物以及其他财产的明显迹象，或者存在其他可能导致无法缴纳税款风险的，海关可以责令纳税人提供担保。纳税人未按照海关要求提供担保的，经直属海关关长或者其授权的隶属海关关长批准，海关可以实施下列强制措施：</w:t>
            </w:r>
          </w:p>
          <w:p>
            <w:pPr>
              <w:pStyle w:val="115"/>
              <w:spacing w:line="420" w:lineRule="exact"/>
              <w:ind w:firstLine="483"/>
              <w:rPr>
                <w:rFonts w:ascii="Times New Roman" w:eastAsia="方正仿宋_GBK" w:hAnsi="Times New Roman"/>
                <w:sz w:val="24"/>
              </w:rPr>
            </w:pPr>
            <w:r>
              <w:rPr>
                <w:rFonts w:ascii="Times New Roman" w:eastAsia="方正仿宋_GBK" w:hAnsi="Times New Roman"/>
                <w:sz w:val="24"/>
              </w:rPr>
              <w:t>（一）书面通知银行业金融机构冻结纳税人金额相当于应纳税款的存款、汇款；</w:t>
            </w:r>
          </w:p>
          <w:p>
            <w:pPr>
              <w:pStyle w:val="115"/>
              <w:spacing w:line="420" w:lineRule="exact"/>
              <w:ind w:firstLine="483"/>
              <w:rPr>
                <w:rFonts w:ascii="Times New Roman" w:hAnsi="Times New Roman"/>
              </w:rPr>
            </w:pPr>
            <w:r>
              <w:rPr>
                <w:rFonts w:ascii="Times New Roman" w:eastAsia="方正仿宋_GBK" w:hAnsi="Times New Roman"/>
                <w:sz w:val="24"/>
              </w:rPr>
              <w:t>（二）查封、扣押纳税人价值相当于应纳税款的货物或者其他财产。</w:t>
            </w:r>
          </w:p>
        </w:tc>
      </w:tr>
      <w:tr>
        <w:trPr>
          <w:trHeight w:val="4215"/>
        </w:trPr>
        <w:tc>
          <w:tcPr>
            <w:tcW w:w="780" w:type="dxa"/>
            <w:tcBorders>
              <w:top w:val="single" w:sz="6" w:space="0" w:color="auto"/>
              <w:left w:val="single" w:sz="6" w:space="0" w:color="auto"/>
              <w:bottom w:val="single" w:sz="6" w:space="0" w:color="auto"/>
              <w:right w:val="single" w:sz="6" w:space="0" w:color="auto"/>
              <w:tl2br w:val="nil"/>
              <w:tr2bl w:val="nil"/>
            </w:tcBorders>
            <w:noWrap/>
            <w:vAlign w:val="center"/>
          </w:tcPr>
          <w:p>
            <w:pPr>
              <w:pStyle w:val="116"/>
              <w:spacing w:line="420" w:lineRule="exact"/>
              <w:jc w:val="center"/>
              <w:rPr>
                <w:rFonts w:ascii="Times New Roman" w:hAnsi="Times New Roman"/>
              </w:rPr>
            </w:pPr>
            <w:r>
              <w:rPr>
                <w:rFonts w:ascii="Times New Roman" w:eastAsia="方正仿宋_GBK" w:hAnsi="Times New Roman"/>
                <w:color w:val="000000"/>
                <w:sz w:val="24"/>
                <w:lang w:bidi="ar-SA"/>
              </w:rPr>
              <w:t>18</w:t>
            </w:r>
          </w:p>
        </w:tc>
        <w:tc>
          <w:tcPr>
            <w:tcW w:w="3914" w:type="dxa"/>
            <w:tcBorders>
              <w:top w:val="single" w:sz="6" w:space="0" w:color="auto"/>
              <w:left w:val="single" w:sz="6" w:space="0" w:color="auto"/>
              <w:bottom w:val="single" w:sz="6" w:space="0" w:color="auto"/>
              <w:right w:val="single" w:sz="6" w:space="0" w:color="auto"/>
              <w:tl2br w:val="nil"/>
              <w:tr2bl w:val="nil"/>
            </w:tcBorders>
            <w:noWrap/>
            <w:vAlign w:val="center"/>
          </w:tcPr>
          <w:p>
            <w:pPr>
              <w:pStyle w:val="117"/>
              <w:spacing w:line="420" w:lineRule="exact"/>
              <w:jc w:val="center"/>
              <w:rPr>
                <w:rFonts w:ascii="Times New Roman" w:hAnsi="Times New Roman"/>
              </w:rPr>
            </w:pPr>
            <w:r>
              <w:rPr>
                <w:rFonts w:ascii="Times New Roman" w:eastAsia="方正仿宋_GBK" w:hAnsi="Times New Roman"/>
                <w:color w:val="auto"/>
                <w:sz w:val="24"/>
                <w:lang w:bidi="ar-SA"/>
              </w:rPr>
              <w:t>《中华人民共和国海关进出口货物征税管理办法》第七十三条第一款</w:t>
            </w:r>
          </w:p>
        </w:tc>
        <w:tc>
          <w:tcPr>
            <w:tcW w:w="9240" w:type="dxa"/>
            <w:tcBorders>
              <w:top w:val="single" w:sz="6" w:space="0" w:color="auto"/>
              <w:left w:val="single" w:sz="6" w:space="0" w:color="auto"/>
              <w:bottom w:val="single" w:sz="6" w:space="0" w:color="auto"/>
              <w:right w:val="single" w:sz="6" w:space="0" w:color="auto"/>
              <w:tl2br w:val="nil"/>
              <w:tr2bl w:val="nil"/>
            </w:tcBorders>
            <w:noWrap/>
            <w:vAlign w:val="center"/>
          </w:tcPr>
          <w:p>
            <w:pPr>
              <w:pStyle w:val="118"/>
              <w:spacing w:line="420" w:lineRule="exact"/>
              <w:ind w:firstLine="483"/>
              <w:rPr>
                <w:rFonts w:ascii="Times New Roman" w:eastAsia="方正仿宋_GBK" w:hAnsi="Times New Roman"/>
                <w:sz w:val="24"/>
              </w:rPr>
            </w:pPr>
            <w:r>
              <w:rPr>
                <w:rFonts w:ascii="Times New Roman" w:eastAsia="方正仿宋_GBK" w:hAnsi="Times New Roman"/>
                <w:sz w:val="24"/>
              </w:rPr>
              <w:t>纳税人、扣缴义务人未按照规定的纳税期限缴纳或者解缴税款的，海关责令纳税人、扣缴义务人自纳税期限届满之日起三个月内缴纳税款；超过三个月仍未缴纳税款的，海关应当向纳税人、扣缴义务人制发催告书。纳税人、扣缴义务人未在催告书送达之日起十日内缴纳税款、滞纳金且无正当理由的，经直属海关关长或者其授权的隶属海关关长批准，海关可以实施下列强制执行措施：</w:t>
            </w:r>
          </w:p>
          <w:p>
            <w:pPr>
              <w:pStyle w:val="118"/>
              <w:spacing w:line="420" w:lineRule="exact"/>
              <w:ind w:firstLine="483"/>
              <w:rPr>
                <w:rFonts w:ascii="Times New Roman" w:eastAsia="方正仿宋_GBK" w:hAnsi="Times New Roman"/>
                <w:sz w:val="24"/>
              </w:rPr>
            </w:pPr>
            <w:r>
              <w:rPr>
                <w:rFonts w:ascii="Times New Roman" w:eastAsia="方正仿宋_GBK" w:hAnsi="Times New Roman"/>
                <w:sz w:val="24"/>
              </w:rPr>
              <w:t>（一）书面通知银行业金融机构划拨纳税人金额相当于应纳税款的存款、汇款；</w:t>
            </w:r>
          </w:p>
          <w:p>
            <w:pPr>
              <w:pStyle w:val="118"/>
              <w:spacing w:line="420" w:lineRule="exact"/>
              <w:ind w:firstLine="483"/>
              <w:rPr>
                <w:rFonts w:ascii="Times New Roman" w:hAnsi="Times New Roman"/>
              </w:rPr>
            </w:pPr>
            <w:r>
              <w:rPr>
                <w:rFonts w:ascii="Times New Roman" w:eastAsia="方正仿宋_GBK" w:hAnsi="Times New Roman"/>
                <w:sz w:val="24"/>
              </w:rPr>
              <w:t>（二）查封、扣押纳税人、扣缴义务人价值相当于应纳税款的货物或者其他财产，依法拍卖或者变卖所查封、扣押的货物或者其他财产，以拍卖或者变卖所得抵缴税款，剩余部分退还纳税人、扣缴义务人。</w:t>
            </w:r>
          </w:p>
        </w:tc>
      </w:tr>
    </w:tbl>
    <w:p/>
    <w:sectPr>
      <w:pgSz w:w="16840" w:h="11907" w:orient="landscape"/>
      <w:pgMar w:top="1418" w:right="1418" w:bottom="1418" w:left="1418" w:header="851" w:footer="992" w:gutter="0"/>
      <w:docGrid w:type="lines" w:linePitch="312" w:charSpace="-6388"/>
    </w:sectPr>
  </w:body>
</w:document>
</file>

<file path=word/fontTable.xml><?xml version="1.0" encoding="utf-8"?>
<w:fonts xmlns:w="http://schemas.openxmlformats.org/wordprocessingml/2006/main" xmlns:r="http://schemas.openxmlformats.org/officeDocument/2006/relationships">
  <w:font w:name="方正黑体_GBK">
    <w:panose1 w:val="03000509000000000000"/>
    <w:charset w:val="86"/>
    <w:family w:val="script"/>
    <w:pitch w:val="variable"/>
    <w:sig w:usb0="00000001" w:usb1="080E0000" w:usb2="00000000" w:usb3="00000000" w:csb0="00040000" w:csb1="00000000"/>
  </w:font>
  <w:font w:name="方正小标宋_GBK">
    <w:panose1 w:val="02000000000000000000"/>
    <w:charset w:val="86"/>
    <w:family w:val="script"/>
    <w:pitch w:val="variable"/>
    <w:sig w:usb0="A00002BF" w:usb1="38CF7CFA" w:usb2="00082016" w:usb3="00000000" w:csb0="00040001" w:csb1="00000000"/>
  </w:font>
  <w:font w:name="宋体">
    <w:altName w:val="华文宋体"/>
    <w:panose1 w:val="02010600030101010101"/>
    <w:charset w:val="86"/>
    <w:family w:val="auto"/>
    <w:pitch w:val="variable"/>
    <w:sig w:usb0="00000003" w:usb1="288F0000" w:usb2="00000016" w:usb3="00000000" w:csb0="00040001" w:csb1="00000000"/>
  </w:font>
  <w:font w:name="Times New Roman">
    <w:panose1 w:val="02020603050405020304"/>
    <w:charset w:val="00"/>
    <w:family w:val="auto"/>
    <w:pitch w:val="variable"/>
    <w:sig w:usb0="00000A87" w:usb1="00000000" w:usb2="00000000" w:usb3="00000000" w:csb0="400001BF" w:csb1="DFF70000"/>
  </w:font>
  <w:font w:name="方正仿宋_GBK">
    <w:panose1 w:val="02000000000000000000"/>
    <w:charset w:val="86"/>
    <w:family w:val="script"/>
    <w:pitch w:val="variable"/>
    <w:sig w:usb0="A00002BF" w:usb1="38CF7CFA" w:usb2="00082016" w:usb3="00000000" w:csb0="00040001" w:csb1="00000000"/>
  </w:font>
  <w:font w:name="黑体">
    <w:altName w:val="方正黑体_GBK"/>
    <w:panose1 w:val="00000000000000000000"/>
    <w:charset w:val="00"/>
    <w:family w:val="auto"/>
    <w:pitch w:val="variable"/>
    <w:sig w:usb0="00000000" w:usb1="00000000" w:usb2="00000000" w:usb3="00000000" w:csb0="00000000" w:csb1="00000000"/>
  </w:font>
  <w:font w:name="Courier New">
    <w:altName w:val="DejaVu Sans"/>
    <w:panose1 w:val="02070409020205090404"/>
    <w:charset w:val="00"/>
    <w:family w:val="auto"/>
    <w:pitch w:val="variable"/>
    <w:sig w:usb0="00007A87" w:usb1="80000000" w:usb2="00000008" w:usb3="00000000" w:csb0="400001FF" w:csb1="FFFF0000"/>
  </w:font>
  <w:font w:name="方正兰亭黑_GBK">
    <w:altName w:val="Arial Unicode MS"/>
    <w:panose1 w:val="02000000000000000000"/>
    <w:charset w:val="86"/>
    <w:family w:val="script"/>
    <w:pitch w:val="variable"/>
    <w:sig w:usb0="A00002BF" w:usb1="3ACF7CFA" w:usb2="00080016" w:usb3="00000000" w:csb0="00040001" w:csb1="00000000"/>
  </w:font>
  <w:font w:name="Lucida Sans">
    <w:altName w:val="DejaVu Sans"/>
    <w:panose1 w:val="020B0602030504020204"/>
    <w:charset w:val="00"/>
    <w:family w:val="auto"/>
    <w:pitch w:val="variable"/>
    <w:sig w:usb0="00000003" w:usb1="00000000" w:usb2="00000000" w:usb3="00000000" w:csb0="20000001" w:csb1="00000000"/>
  </w:font>
  <w:font w:name="Calibri">
    <w:altName w:val="Times New Roman"/>
    <w:panose1 w:val="020F0502020204030204"/>
    <w:charset w:val="00"/>
    <w:family w:val="swiss"/>
    <w:pitch w:val="variable"/>
    <w:sig w:usb0="E10002FF" w:usb1="4000ACFF" w:usb2="00000009" w:usb3="00000000" w:csb0="0000019F" w:csb1="00000000"/>
  </w:font>
  <w:font w:name="DejaVu Sans">
    <w:altName w:val="Segoe Script"/>
    <w:panose1 w:val="020B0603030804020204"/>
    <w:charset w:val="00"/>
    <w:family w:val="auto"/>
    <w:pitch w:val="variable"/>
    <w:sig w:usb0="E7006EFF" w:usb1="D200FDFF" w:usb2="0A246029" w:usb3="0400200C" w:csb0="600001FF" w:csb1="DFFF0000"/>
  </w:font>
</w:fonts>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0FFFFF89"/>
    <w:multiLevelType w:val="singleLevel"/>
    <w:tmpl w:val="00000000"/>
    <w:lvl w:ilvl="0">
      <w:start w:val="1"/>
      <w:numFmt w:val="bullet"/>
      <w:lvlRestart w:val="0"/>
      <w:pStyle w:val="22"/>
      <w:lvlText w:val="●"/>
      <w:lvlJc w:val="left"/>
      <w:pPr>
        <w:tabs>
          <w:tab w:val="num" w:pos="360"/>
        </w:tabs>
        <w:ind w:left="360" w:hanging="360"/>
      </w:pPr>
      <w:rPr>
        <w:rFonts w:ascii="DejaVu Sans" w:hAnsi="DejaVu Sans" w:hint="default"/>
      </w:rPr>
    </w:lvl>
  </w:abstractNum>
  <w:abstractNum w:abstractNumId="1">
    <w:nsid w:val="0FFFFF88"/>
    <w:multiLevelType w:val="singleLevel"/>
    <w:tmpl w:val="00000000"/>
    <w:lvl w:ilvl="0">
      <w:start w:val="1"/>
      <w:numFmt w:val="decimal"/>
      <w:lvlRestart w:val="0"/>
      <w:pStyle w:val="23"/>
      <w:lvlText w:val="%1."/>
      <w:lvlJc w:val="left"/>
      <w:pPr>
        <w:tabs>
          <w:tab w:val="num" w:pos="360"/>
        </w:tabs>
        <w:ind w:left="360" w:hanging="360"/>
      </w:pPr>
    </w:lvl>
  </w:abstractNum>
  <w:abstractNum w:abstractNumId="2">
    <w:nsid w:val="0FFFFF83"/>
    <w:multiLevelType w:val="singleLevel"/>
    <w:tmpl w:val="00000000"/>
    <w:lvl w:ilvl="0">
      <w:start w:val="1"/>
      <w:numFmt w:val="bullet"/>
      <w:lvlRestart w:val="0"/>
      <w:pStyle w:val="28"/>
      <w:lvlText w:val="●"/>
      <w:lvlJc w:val="left"/>
      <w:pPr>
        <w:tabs>
          <w:tab w:val="num" w:pos="780"/>
        </w:tabs>
        <w:ind w:left="780" w:hanging="360"/>
      </w:pPr>
      <w:rPr>
        <w:rFonts w:ascii="DejaVu Sans" w:hAnsi="DejaVu Sans" w:hint="default"/>
      </w:rPr>
    </w:lvl>
  </w:abstractNum>
  <w:abstractNum w:abstractNumId="3">
    <w:nsid w:val="0FFFFF82"/>
    <w:multiLevelType w:val="singleLevel"/>
    <w:tmpl w:val="00000000"/>
    <w:lvl w:ilvl="0">
      <w:start w:val="1"/>
      <w:numFmt w:val="bullet"/>
      <w:lvlRestart w:val="0"/>
      <w:pStyle w:val="29"/>
      <w:lvlText w:val="●"/>
      <w:lvlJc w:val="left"/>
      <w:pPr>
        <w:tabs>
          <w:tab w:val="num" w:pos="1200"/>
        </w:tabs>
        <w:ind w:left="1200" w:hanging="360"/>
      </w:pPr>
      <w:rPr>
        <w:rFonts w:ascii="DejaVu Sans" w:hAnsi="DejaVu Sans" w:hint="default"/>
      </w:rPr>
    </w:lvl>
  </w:abstractNum>
  <w:abstractNum w:abstractNumId="4">
    <w:nsid w:val="0FFFFF81"/>
    <w:multiLevelType w:val="singleLevel"/>
    <w:tmpl w:val="00000000"/>
    <w:lvl w:ilvl="0">
      <w:start w:val="1"/>
      <w:numFmt w:val="bullet"/>
      <w:lvlRestart w:val="0"/>
      <w:pStyle w:val="30"/>
      <w:lvlText w:val="●"/>
      <w:lvlJc w:val="left"/>
      <w:pPr>
        <w:tabs>
          <w:tab w:val="num" w:pos="1620"/>
        </w:tabs>
        <w:ind w:left="1620" w:hanging="360"/>
      </w:pPr>
      <w:rPr>
        <w:rFonts w:ascii="DejaVu Sans" w:hAnsi="DejaVu Sans" w:hint="default"/>
      </w:rPr>
    </w:lvl>
  </w:abstractNum>
  <w:abstractNum w:abstractNumId="5">
    <w:nsid w:val="0FFFFF80"/>
    <w:multiLevelType w:val="singleLevel"/>
    <w:tmpl w:val="00000000"/>
    <w:lvl w:ilvl="0">
      <w:start w:val="1"/>
      <w:numFmt w:val="bullet"/>
      <w:lvlRestart w:val="0"/>
      <w:pStyle w:val="31"/>
      <w:lvlText w:val="●"/>
      <w:lvlJc w:val="left"/>
      <w:pPr>
        <w:tabs>
          <w:tab w:val="num" w:pos="2040"/>
        </w:tabs>
        <w:ind w:left="2040" w:hanging="360"/>
      </w:pPr>
      <w:rPr>
        <w:rFonts w:ascii="DejaVu Sans" w:hAnsi="DejaVu Sans" w:hint="default"/>
      </w:rPr>
    </w:lvl>
  </w:abstractNum>
  <w:abstractNum w:abstractNumId="6">
    <w:nsid w:val="0FFFFF7F"/>
    <w:multiLevelType w:val="singleLevel"/>
    <w:tmpl w:val="00000000"/>
    <w:lvl w:ilvl="0">
      <w:start w:val="1"/>
      <w:numFmt w:val="decimal"/>
      <w:lvlRestart w:val="0"/>
      <w:pStyle w:val="32"/>
      <w:lvlText w:val="%1."/>
      <w:lvlJc w:val="left"/>
      <w:pPr>
        <w:tabs>
          <w:tab w:val="num" w:pos="780"/>
        </w:tabs>
        <w:ind w:left="780" w:hanging="360"/>
      </w:pPr>
    </w:lvl>
  </w:abstractNum>
  <w:abstractNum w:abstractNumId="7">
    <w:nsid w:val="0FFFFF7E"/>
    <w:multiLevelType w:val="singleLevel"/>
    <w:tmpl w:val="00000000"/>
    <w:lvl w:ilvl="0">
      <w:start w:val="1"/>
      <w:numFmt w:val="decimal"/>
      <w:lvlRestart w:val="0"/>
      <w:pStyle w:val="33"/>
      <w:lvlText w:val="%1."/>
      <w:lvlJc w:val="left"/>
      <w:pPr>
        <w:tabs>
          <w:tab w:val="num" w:pos="1200"/>
        </w:tabs>
        <w:ind w:left="1200" w:hanging="360"/>
      </w:pPr>
    </w:lvl>
  </w:abstractNum>
  <w:abstractNum w:abstractNumId="8">
    <w:nsid w:val="0FFFFF7D"/>
    <w:multiLevelType w:val="singleLevel"/>
    <w:tmpl w:val="00000000"/>
    <w:lvl w:ilvl="0">
      <w:start w:val="1"/>
      <w:numFmt w:val="decimal"/>
      <w:lvlRestart w:val="0"/>
      <w:pStyle w:val="34"/>
      <w:lvlText w:val="%1."/>
      <w:lvlJc w:val="left"/>
      <w:pPr>
        <w:tabs>
          <w:tab w:val="num" w:pos="1620"/>
        </w:tabs>
        <w:ind w:left="1620" w:hanging="360"/>
      </w:pPr>
    </w:lvl>
  </w:abstractNum>
  <w:abstractNum w:abstractNumId="9">
    <w:nsid w:val="0FFFFF7C"/>
    <w:multiLevelType w:val="singleLevel"/>
    <w:tmpl w:val="00000000"/>
    <w:lvl w:ilvl="0">
      <w:start w:val="1"/>
      <w:numFmt w:val="decimal"/>
      <w:lvlRestart w:val="0"/>
      <w:pStyle w:val="35"/>
      <w:lvlText w:val="%1."/>
      <w:lvlJc w:val="left"/>
      <w:pPr>
        <w:tabs>
          <w:tab w:val="num" w:pos="2040"/>
        </w:tabs>
        <w:ind w:left="2040" w:hanging="36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fullPage" w:percent="100"/>
  <w:displayBackgroundShape/>
  <w:bordersDoNotSurroundHeader/>
  <w:bordersDoNotSurroundFooter/>
  <w:trackRevisions/>
  <w:defaultTabStop w:val="420"/>
  <w:drawingGridHorizontalSpacing w:val="105"/>
  <w:drawingGridVerticalSpacing w:val="156"/>
  <w:displayHorizontalDrawingGridEvery w:val="0"/>
  <w:displayVerticalDrawingGridEvery w:val="2"/>
  <w:noPunctuationKerning/>
  <w:noLineBreaksAfter w:lang="zh-CN" w:val="$([{£¥·‘“〈《「『【〔〖〝﹙﹛﹝＄（．［｛￡￥"/>
  <w:noLineBreaksBefore w:lang="zh-CN" w:val="!%),.:;&gt;?]}¢¨°·ˇˉ―‖’”…‰′″›℃∶、。〃〉》」』】〕〗〞︶︺︾﹀﹄﹚﹜﹞！＂％＇），．：；？］｀｜｝～￠"/>
  <w:compat>
    <w:spaceForUL/>
    <w:balanceSingleByteDoubleByteWidth/>
    <w:ulTrailSpace/>
    <w:doNotExpandShiftReturn/>
    <w:adjustLineHeightInTable/>
    <w:compatSetting w:name="compatibilityMode" w:uri="http://schemas.microsoft.com/office/word" w:val="14"/>
  </w:compat>
  <w:docVar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spacing w:line="560" w:lineRule="exact"/>
      <w:jc w:val="both"/>
    </w:pPr>
    <w:rPr>
      <w:rFonts w:ascii="Times New Roman" w:eastAsia="方正仿宋_GBK" w:cs="Times New Roman" w:hAnsi="Times New Roman"/>
      <w:spacing w:val="-4"/>
      <w:kern w:val="2"/>
      <w:sz w:val="32"/>
      <w:szCs w:val="20"/>
      <w:lang w:val="en-US" w:eastAsia="zh-CN" w:bidi="ar-SA"/>
    </w:rPr>
  </w:style>
  <w:style w:type="paragraph" w:styleId="1">
    <w:name w:val="heading 1"/>
    <w:basedOn w:val="0"/>
    <w:next w:val="0"/>
    <w:pPr>
      <w:keepNext/>
      <w:keepLines/>
      <w:widowControl w:val="0"/>
      <w:spacing w:before="340" w:after="330" w:line="578" w:lineRule="auto"/>
      <w:outlineLvl w:val="0"/>
    </w:pPr>
    <w:rPr>
      <w:b/>
      <w:bCs/>
      <w:kern w:val="44"/>
      <w:sz w:val="44"/>
      <w:szCs w:val="44"/>
    </w:rPr>
  </w:style>
  <w:style w:type="paragraph" w:styleId="2">
    <w:name w:val="heading 2"/>
    <w:basedOn w:val="0"/>
    <w:next w:val="0"/>
    <w:pPr>
      <w:keepNext/>
      <w:keepLines/>
      <w:widowControl w:val="0"/>
      <w:spacing w:before="260" w:after="260" w:line="415" w:lineRule="auto"/>
      <w:outlineLvl w:val="1"/>
    </w:pPr>
    <w:rPr>
      <w:rFonts w:ascii="Times New Roman" w:eastAsia="黑体" w:hAnsi="Times New Roman"/>
      <w:b/>
      <w:bCs/>
      <w:sz w:val="32"/>
      <w:szCs w:val="32"/>
    </w:rPr>
  </w:style>
  <w:style w:type="paragraph" w:styleId="3">
    <w:name w:val="heading 3"/>
    <w:basedOn w:val="0"/>
    <w:next w:val="0"/>
    <w:pPr>
      <w:keepNext/>
      <w:keepLines/>
      <w:widowControl w:val="0"/>
      <w:spacing w:before="260" w:after="260" w:line="415" w:lineRule="auto"/>
      <w:outlineLvl w:val="2"/>
    </w:pPr>
    <w:rPr>
      <w:b/>
      <w:bCs/>
      <w:sz w:val="32"/>
      <w:szCs w:val="32"/>
    </w:rPr>
  </w:style>
  <w:style w:type="character" w:default="1" w:styleId="10">
    <w:name w:val="Default Paragraph Font"/>
  </w:style>
  <w:style w:type="character" w:styleId="15">
    <w:name w:val="footnote reference"/>
    <w:basedOn w:val="10"/>
    <w:rPr>
      <w:vertAlign w:val="superscript"/>
    </w:rPr>
  </w:style>
  <w:style w:type="character" w:styleId="16">
    <w:name w:val="page number"/>
    <w:basedOn w:val="10"/>
  </w:style>
  <w:style w:type="character" w:styleId="17">
    <w:name w:val="endnote reference"/>
    <w:basedOn w:val="10"/>
    <w:rPr>
      <w:vertAlign w:val="superscript"/>
    </w:rPr>
  </w:style>
  <w:style w:type="paragraph" w:styleId="18">
    <w:name w:val="endnote text"/>
    <w:basedOn w:val="0"/>
    <w:pPr>
      <w:snapToGrid w:val="0"/>
      <w:jc w:val="left"/>
    </w:pPr>
  </w:style>
  <w:style w:type="paragraph" w:styleId="19">
    <w:name w:val="table of authorities"/>
    <w:basedOn w:val="0"/>
    <w:next w:val="0"/>
    <w:pPr>
      <w:ind w:left="420"/>
    </w:pPr>
  </w:style>
  <w:style w:type="paragraph" w:styleId="20">
    <w:name w:val="macro"/>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jc w:val="left"/>
    </w:pPr>
    <w:rPr>
      <w:rFonts w:ascii="Courier New" w:eastAsia="方正兰亭黑_GBK" w:cs="Lucida Sans" w:hAnsi="Courier New"/>
      <w:sz w:val="24"/>
      <w:szCs w:val="24"/>
      <w:lang w:val="en-US" w:eastAsia="zh-CN" w:bidi="ar-SA"/>
    </w:rPr>
  </w:style>
  <w:style w:type="paragraph" w:styleId="21">
    <w:name w:val="toa heading"/>
    <w:basedOn w:val="0"/>
    <w:next w:val="0"/>
    <w:pPr>
      <w:spacing w:before="120"/>
    </w:pPr>
    <w:rPr>
      <w:rFonts w:ascii="Times New Roman" w:hAnsi="Times New Roman"/>
      <w:sz w:val="24"/>
      <w:szCs w:val="24"/>
    </w:rPr>
  </w:style>
  <w:style w:type="paragraph" w:styleId="22">
    <w:name w:val="List"/>
    <w:basedOn w:val="0"/>
    <w:pPr>
      <w:ind w:left="420" w:hanging="420"/>
    </w:pPr>
  </w:style>
  <w:style w:type="paragraph" w:styleId="23">
    <w:name w:val="List Bullet"/>
    <w:basedOn w:val="0"/>
    <w:pPr>
      <w:numPr>
        <w:ilvl w:val="0"/>
        <w:numId w:val="1"/>
      </w:numPr>
    </w:pPr>
  </w:style>
  <w:style w:type="paragraph" w:styleId="24">
    <w:name w:val="List Number"/>
    <w:basedOn w:val="0"/>
    <w:pPr>
      <w:numPr>
        <w:ilvl w:val="0"/>
        <w:numId w:val="2"/>
      </w:numPr>
    </w:pPr>
  </w:style>
  <w:style w:type="paragraph" w:styleId="25">
    <w:name w:val="List 2"/>
    <w:basedOn w:val="0"/>
    <w:pPr>
      <w:ind w:left="840" w:hanging="420"/>
    </w:pPr>
  </w:style>
  <w:style w:type="paragraph" w:styleId="26">
    <w:name w:val="List 3"/>
    <w:basedOn w:val="0"/>
    <w:pPr>
      <w:ind w:left="1260" w:hanging="420"/>
    </w:pPr>
  </w:style>
  <w:style w:type="paragraph" w:styleId="27">
    <w:name w:val="List 4"/>
    <w:basedOn w:val="0"/>
    <w:pPr>
      <w:ind w:left="1680" w:hanging="420"/>
    </w:pPr>
  </w:style>
  <w:style w:type="paragraph" w:styleId="28">
    <w:name w:val="List 5"/>
    <w:basedOn w:val="0"/>
    <w:pPr>
      <w:ind w:left="2100" w:hanging="420"/>
    </w:pPr>
  </w:style>
  <w:style w:type="paragraph" w:styleId="29">
    <w:name w:val="List Bullet 2"/>
    <w:basedOn w:val="0"/>
    <w:pPr>
      <w:numPr>
        <w:ilvl w:val="0"/>
        <w:numId w:val="3"/>
      </w:numPr>
    </w:pPr>
  </w:style>
  <w:style w:type="paragraph" w:styleId="30">
    <w:name w:val="List Bullet 3"/>
    <w:basedOn w:val="0"/>
    <w:pPr>
      <w:numPr>
        <w:ilvl w:val="0"/>
        <w:numId w:val="4"/>
      </w:numPr>
    </w:pPr>
  </w:style>
  <w:style w:type="paragraph" w:styleId="31">
    <w:name w:val="List Bullet 4"/>
    <w:basedOn w:val="0"/>
    <w:pPr>
      <w:numPr>
        <w:ilvl w:val="0"/>
        <w:numId w:val="5"/>
      </w:numPr>
    </w:pPr>
  </w:style>
  <w:style w:type="paragraph" w:styleId="32">
    <w:name w:val="List Bullet 5"/>
    <w:basedOn w:val="0"/>
    <w:pPr>
      <w:numPr>
        <w:ilvl w:val="0"/>
        <w:numId w:val="6"/>
      </w:numPr>
    </w:pPr>
  </w:style>
  <w:style w:type="paragraph" w:styleId="33">
    <w:name w:val="List Number 2"/>
    <w:basedOn w:val="0"/>
    <w:pPr>
      <w:numPr>
        <w:ilvl w:val="0"/>
        <w:numId w:val="7"/>
      </w:numPr>
    </w:pPr>
  </w:style>
  <w:style w:type="paragraph" w:styleId="34">
    <w:name w:val="List Number 3"/>
    <w:basedOn w:val="0"/>
    <w:pPr>
      <w:numPr>
        <w:ilvl w:val="0"/>
        <w:numId w:val="8"/>
      </w:numPr>
    </w:pPr>
  </w:style>
  <w:style w:type="paragraph" w:styleId="35">
    <w:name w:val="List Number 4"/>
    <w:basedOn w:val="0"/>
    <w:pPr>
      <w:numPr>
        <w:ilvl w:val="0"/>
        <w:numId w:val="9"/>
      </w:numPr>
    </w:pPr>
  </w:style>
  <w:style w:type="paragraph" w:styleId="36">
    <w:name w:val="List Number 5"/>
    <w:basedOn w:val="0"/>
    <w:pPr>
      <w:numPr>
        <w:ilvl w:val="0"/>
        <w:numId w:val="10"/>
      </w:numPr>
    </w:pPr>
  </w:style>
  <w:style w:type="paragraph" w:styleId="37">
    <w:name w:val="Title"/>
    <w:basedOn w:val="0"/>
    <w:pPr>
      <w:spacing w:before="240" w:after="60"/>
      <w:jc w:val="center"/>
      <w:outlineLvl w:val="0"/>
    </w:pPr>
    <w:rPr>
      <w:rFonts w:ascii="Times New Roman" w:hAnsi="Times New Roman"/>
      <w:b/>
      <w:bCs/>
      <w:sz w:val="32"/>
      <w:szCs w:val="32"/>
    </w:rPr>
  </w:style>
  <w:style w:type="paragraph" w:styleId="38">
    <w:name w:val="Closing"/>
    <w:basedOn w:val="0"/>
    <w:pPr>
      <w:ind w:left="4320"/>
    </w:pPr>
  </w:style>
  <w:style w:type="paragraph" w:styleId="39">
    <w:name w:val="Signature"/>
    <w:basedOn w:val="0"/>
    <w:pPr>
      <w:ind w:left="4320"/>
    </w:pPr>
  </w:style>
  <w:style w:type="paragraph" w:styleId="40">
    <w:name w:val="Body Text"/>
    <w:basedOn w:val="0"/>
    <w:pPr>
      <w:spacing w:after="120"/>
    </w:pPr>
  </w:style>
  <w:style w:type="paragraph" w:styleId="41">
    <w:name w:val="Body Text Indent"/>
    <w:basedOn w:val="0"/>
    <w:pPr>
      <w:spacing w:after="120"/>
      <w:ind w:left="420"/>
    </w:pPr>
  </w:style>
  <w:style w:type="paragraph" w:styleId="42">
    <w:name w:val="List Continue"/>
    <w:basedOn w:val="0"/>
    <w:pPr>
      <w:spacing w:after="120"/>
      <w:ind w:left="420"/>
    </w:pPr>
  </w:style>
  <w:style w:type="paragraph" w:styleId="43">
    <w:name w:val="List Continue 2"/>
    <w:basedOn w:val="0"/>
    <w:pPr>
      <w:spacing w:after="120"/>
      <w:ind w:left="840"/>
    </w:pPr>
  </w:style>
  <w:style w:type="paragraph" w:styleId="44">
    <w:name w:val="List Continue 3"/>
    <w:basedOn w:val="0"/>
    <w:pPr>
      <w:spacing w:after="120"/>
      <w:ind w:left="1260"/>
    </w:pPr>
  </w:style>
  <w:style w:type="paragraph" w:styleId="45">
    <w:name w:val="List Continue 4"/>
    <w:basedOn w:val="0"/>
    <w:pPr>
      <w:spacing w:after="120"/>
      <w:ind w:left="1680"/>
    </w:pPr>
  </w:style>
  <w:style w:type="paragraph" w:styleId="46">
    <w:name w:val="List Continue 5"/>
    <w:basedOn w:val="0"/>
    <w:pPr>
      <w:spacing w:after="120"/>
      <w:ind w:left="2100"/>
    </w:pPr>
  </w:style>
  <w:style w:type="paragraph" w:styleId="47">
    <w:name w:val="Message Header"/>
    <w:basedOn w:val="0"/>
    <w:pPr>
      <w:pBdr>
        <w:top w:val="single" w:sz="6" w:space="1" w:color="auto"/>
        <w:left w:val="single" w:sz="6" w:space="4" w:color="auto"/>
        <w:bottom w:val="single" w:sz="6" w:space="1" w:color="auto"/>
        <w:right w:val="single" w:sz="6" w:space="4" w:color="auto"/>
      </w:pBdr>
      <w:shd w:val="pct12" w:color="auto" w:fill="auto"/>
      <w:ind w:leftChars="500" w:left="1000" w:hangingChars="500" w:hanging="500"/>
    </w:pPr>
    <w:rPr>
      <w:rFonts w:ascii="Times New Roman" w:hAnsi="Times New Roman"/>
      <w:sz w:val="24"/>
      <w:szCs w:val="24"/>
    </w:rPr>
  </w:style>
  <w:style w:type="paragraph" w:styleId="48">
    <w:name w:val="Subtitle"/>
    <w:basedOn w:val="0"/>
    <w:pPr>
      <w:spacing w:before="240" w:after="60" w:line="312" w:lineRule="auto"/>
      <w:jc w:val="center"/>
      <w:outlineLvl w:val="1"/>
    </w:pPr>
    <w:rPr>
      <w:rFonts w:ascii="Times New Roman" w:hAnsi="Times New Roman"/>
      <w:b/>
      <w:bCs/>
      <w:kern w:val="28"/>
      <w:sz w:val="32"/>
      <w:szCs w:val="32"/>
    </w:rPr>
  </w:style>
  <w:style w:type="paragraph" w:styleId="49">
    <w:name w:val="Salutation"/>
    <w:basedOn w:val="0"/>
    <w:next w:val="0"/>
  </w:style>
  <w:style w:type="paragraph" w:styleId="50">
    <w:name w:val="Date"/>
    <w:basedOn w:val="0"/>
    <w:next w:val="0"/>
    <w:pPr>
      <w:ind w:leftChars="2500" w:left="2500"/>
    </w:pPr>
  </w:style>
  <w:style w:type="paragraph" w:styleId="51">
    <w:name w:val="Body Text First Indent"/>
    <w:basedOn w:val="40"/>
    <w:pPr>
      <w:ind w:firstLine="420"/>
    </w:pPr>
  </w:style>
  <w:style w:type="paragraph" w:styleId="52">
    <w:name w:val="Body Text First Indent 2"/>
    <w:basedOn w:val="41"/>
    <w:pPr>
      <w:ind w:firstLine="420"/>
    </w:pPr>
  </w:style>
  <w:style w:type="paragraph" w:styleId="53">
    <w:name w:val="Note Heading"/>
    <w:basedOn w:val="0"/>
    <w:next w:val="0"/>
    <w:pPr>
      <w:jc w:val="center"/>
    </w:pPr>
  </w:style>
  <w:style w:type="paragraph" w:styleId="54">
    <w:name w:val="Body Text 2"/>
    <w:basedOn w:val="0"/>
    <w:pPr>
      <w:spacing w:after="120" w:line="480" w:lineRule="auto"/>
    </w:pPr>
  </w:style>
  <w:style w:type="paragraph" w:styleId="55">
    <w:name w:val="Body Text 3"/>
    <w:basedOn w:val="0"/>
    <w:pPr>
      <w:spacing w:after="120"/>
    </w:pPr>
    <w:rPr>
      <w:sz w:val="16"/>
      <w:szCs w:val="16"/>
    </w:rPr>
  </w:style>
  <w:style w:type="paragraph" w:styleId="56">
    <w:name w:val="Body Text Indent 2"/>
    <w:basedOn w:val="0"/>
    <w:pPr>
      <w:spacing w:after="120" w:line="480" w:lineRule="auto"/>
      <w:ind w:left="420"/>
    </w:pPr>
  </w:style>
  <w:style w:type="paragraph" w:styleId="57">
    <w:name w:val="Body Text Indent 3"/>
    <w:basedOn w:val="0"/>
    <w:pPr>
      <w:spacing w:after="120"/>
      <w:ind w:left="420"/>
    </w:pPr>
    <w:rPr>
      <w:sz w:val="16"/>
      <w:szCs w:val="16"/>
    </w:rPr>
  </w:style>
  <w:style w:type="paragraph" w:styleId="58">
    <w:name w:val="Block Text"/>
    <w:basedOn w:val="0"/>
    <w:pPr>
      <w:spacing w:after="120"/>
      <w:ind w:left="140" w:rightChars="700" w:right="700"/>
    </w:pPr>
  </w:style>
  <w:style w:type="character" w:styleId="59">
    <w:name w:val="Hyperlink"/>
    <w:basedOn w:val="10"/>
    <w:rPr>
      <w:color w:val="0000FF"/>
      <w:u w:val="single"/>
    </w:rPr>
  </w:style>
  <w:style w:type="character" w:styleId="60">
    <w:name w:val="FollowedHyperlink"/>
    <w:basedOn w:val="10"/>
    <w:rPr>
      <w:color w:val="800080"/>
      <w:u w:val="single"/>
    </w:rPr>
  </w:style>
  <w:style w:type="character" w:styleId="61">
    <w:name w:val="Strong"/>
    <w:basedOn w:val="10"/>
    <w:rPr>
      <w:b/>
      <w:bCs/>
    </w:rPr>
  </w:style>
  <w:style w:type="character" w:styleId="62">
    <w:name w:val="Emphasis"/>
    <w:basedOn w:val="10"/>
    <w:rPr>
      <w:i/>
    </w:rPr>
  </w:style>
  <w:style w:type="paragraph" w:styleId="63">
    <w:name w:val="Document Map"/>
    <w:basedOn w:val="0"/>
    <w:pPr>
      <w:shd w:val="clear" w:color="auto" w:fill="000080"/>
    </w:pPr>
  </w:style>
  <w:style w:type="paragraph" w:styleId="64">
    <w:name w:val="Plain Text"/>
    <w:basedOn w:val="0"/>
    <w:rPr>
      <w:rFonts w:ascii="Courier New" w:eastAsia="方正兰亭黑_GBK" w:hAnsi="Courier New"/>
    </w:rPr>
  </w:style>
  <w:style w:type="paragraph" w:styleId="65">
    <w:name w:val="E-mail Signature"/>
    <w:basedOn w:val="0"/>
  </w:style>
  <w:style w:type="paragraph" w:styleId="66">
    <w:name w:val="Normal (Web)"/>
    <w:basedOn w:val="0"/>
    <w:rPr>
      <w:sz w:val="24"/>
      <w:szCs w:val="24"/>
    </w:rPr>
  </w:style>
  <w:style w:type="paragraph" w:customStyle="1" w:styleId="67">
    <w:name w:val="样式 10 磅"/>
    <w:pPr>
      <w:widowControl w:val="0"/>
      <w:jc w:val="both"/>
    </w:pPr>
    <w:rPr>
      <w:rFonts w:ascii="Calibri" w:eastAsia="宋体" w:cs="Times New Roman" w:hAnsi="Calibri"/>
      <w:kern w:val="2"/>
      <w:sz w:val="21"/>
      <w:szCs w:val="22"/>
      <w:lang w:val="en-US" w:eastAsia="zh-CN" w:bidi="ar-SA"/>
    </w:rPr>
  </w:style>
  <w:style w:type="paragraph" w:customStyle="1" w:styleId="68">
    <w:name w:val="样式 2 10 磅"/>
    <w:pPr>
      <w:widowControl w:val="0"/>
      <w:jc w:val="both"/>
    </w:pPr>
    <w:rPr>
      <w:rFonts w:ascii="Calibri" w:eastAsia="宋体" w:cs="Times New Roman" w:hAnsi="Calibri"/>
      <w:kern w:val="2"/>
      <w:sz w:val="21"/>
      <w:szCs w:val="22"/>
      <w:lang w:val="en-US" w:eastAsia="zh-CN" w:bidi="ar-SA"/>
    </w:rPr>
  </w:style>
  <w:style w:type="paragraph" w:customStyle="1" w:styleId="69">
    <w:name w:val="样式 3 10 磅"/>
    <w:pPr>
      <w:widowControl w:val="0"/>
      <w:jc w:val="both"/>
    </w:pPr>
    <w:rPr>
      <w:rFonts w:ascii="Calibri" w:eastAsia="宋体" w:cs="Times New Roman" w:hAnsi="Calibri"/>
      <w:kern w:val="2"/>
      <w:sz w:val="21"/>
      <w:szCs w:val="22"/>
      <w:lang w:val="en-US" w:eastAsia="zh-CN" w:bidi="ar-SA"/>
    </w:rPr>
  </w:style>
  <w:style w:type="paragraph" w:customStyle="1" w:styleId="70">
    <w:name w:val="样式 4 10 磅"/>
    <w:pPr>
      <w:widowControl w:val="0"/>
      <w:jc w:val="both"/>
    </w:pPr>
    <w:rPr>
      <w:rFonts w:ascii="Calibri" w:eastAsia="宋体" w:cs="Times New Roman" w:hAnsi="Calibri"/>
      <w:kern w:val="2"/>
      <w:sz w:val="21"/>
      <w:szCs w:val="22"/>
      <w:lang w:val="en-US" w:eastAsia="zh-CN" w:bidi="ar-SA"/>
    </w:rPr>
  </w:style>
  <w:style w:type="paragraph" w:customStyle="1" w:styleId="71">
    <w:name w:val="样式 5 10 磅"/>
    <w:pPr>
      <w:widowControl w:val="0"/>
      <w:jc w:val="both"/>
    </w:pPr>
    <w:rPr>
      <w:rFonts w:ascii="Calibri" w:eastAsia="宋体" w:cs="Times New Roman" w:hAnsi="Calibri"/>
      <w:kern w:val="2"/>
      <w:sz w:val="21"/>
      <w:szCs w:val="22"/>
      <w:lang w:val="en-US" w:eastAsia="zh-CN" w:bidi="ar-SA"/>
    </w:rPr>
  </w:style>
  <w:style w:type="paragraph" w:customStyle="1" w:styleId="72">
    <w:name w:val="样式 6 10 磅"/>
    <w:pPr>
      <w:widowControl w:val="0"/>
      <w:jc w:val="both"/>
    </w:pPr>
    <w:rPr>
      <w:rFonts w:ascii="Calibri" w:eastAsia="宋体" w:cs="Times New Roman" w:hAnsi="Calibri"/>
      <w:kern w:val="2"/>
      <w:sz w:val="21"/>
      <w:szCs w:val="22"/>
      <w:lang w:val="en-US" w:eastAsia="zh-CN" w:bidi="ar-SA"/>
    </w:rPr>
  </w:style>
  <w:style w:type="paragraph" w:customStyle="1" w:styleId="73">
    <w:name w:val="样式 7 10 磅"/>
    <w:pPr>
      <w:widowControl w:val="0"/>
      <w:jc w:val="both"/>
    </w:pPr>
    <w:rPr>
      <w:rFonts w:ascii="Calibri" w:eastAsia="宋体" w:cs="Times New Roman" w:hAnsi="Calibri"/>
      <w:kern w:val="2"/>
      <w:sz w:val="21"/>
      <w:szCs w:val="22"/>
      <w:lang w:val="en-US" w:eastAsia="zh-CN" w:bidi="ar-SA"/>
    </w:rPr>
  </w:style>
  <w:style w:type="paragraph" w:customStyle="1" w:styleId="74">
    <w:name w:val="样式 8 10 磅"/>
    <w:pPr>
      <w:widowControl w:val="0"/>
      <w:jc w:val="both"/>
    </w:pPr>
    <w:rPr>
      <w:rFonts w:ascii="Calibri" w:eastAsia="宋体" w:cs="Times New Roman" w:hAnsi="Calibri"/>
      <w:kern w:val="2"/>
      <w:sz w:val="21"/>
      <w:szCs w:val="22"/>
      <w:lang w:val="en-US" w:eastAsia="zh-CN" w:bidi="ar-SA"/>
    </w:rPr>
  </w:style>
  <w:style w:type="paragraph" w:customStyle="1" w:styleId="75">
    <w:name w:val="样式 9 10 磅"/>
    <w:pPr>
      <w:widowControl w:val="0"/>
      <w:jc w:val="both"/>
    </w:pPr>
    <w:rPr>
      <w:rFonts w:ascii="Calibri" w:eastAsia="宋体" w:cs="Times New Roman" w:hAnsi="Calibri"/>
      <w:kern w:val="2"/>
      <w:sz w:val="21"/>
      <w:szCs w:val="22"/>
      <w:lang w:val="en-US" w:eastAsia="zh-CN" w:bidi="ar-SA"/>
    </w:rPr>
  </w:style>
  <w:style w:type="paragraph" w:customStyle="1" w:styleId="76">
    <w:name w:val="样式 10 10 磅"/>
    <w:pPr>
      <w:widowControl w:val="0"/>
      <w:jc w:val="both"/>
    </w:pPr>
    <w:rPr>
      <w:rFonts w:ascii="Calibri" w:eastAsia="宋体" w:cs="Times New Roman" w:hAnsi="Calibri"/>
      <w:kern w:val="2"/>
      <w:sz w:val="21"/>
      <w:szCs w:val="22"/>
      <w:lang w:val="en-US" w:eastAsia="zh-CN" w:bidi="ar-SA"/>
    </w:rPr>
  </w:style>
  <w:style w:type="paragraph" w:customStyle="1" w:styleId="77">
    <w:name w:val="样式 11 10 磅"/>
    <w:pPr>
      <w:widowControl w:val="0"/>
      <w:jc w:val="both"/>
    </w:pPr>
    <w:rPr>
      <w:rFonts w:ascii="Calibri" w:eastAsia="宋体" w:cs="Times New Roman" w:hAnsi="Calibri"/>
      <w:kern w:val="2"/>
      <w:sz w:val="21"/>
      <w:szCs w:val="22"/>
      <w:lang w:val="en-US" w:eastAsia="zh-CN" w:bidi="ar-SA"/>
    </w:rPr>
  </w:style>
  <w:style w:type="paragraph" w:customStyle="1" w:styleId="78">
    <w:name w:val="样式 12 10 磅"/>
    <w:pPr>
      <w:widowControl w:val="0"/>
      <w:jc w:val="both"/>
    </w:pPr>
    <w:rPr>
      <w:rFonts w:ascii="Calibri" w:eastAsia="宋体" w:cs="Times New Roman" w:hAnsi="Calibri"/>
      <w:kern w:val="2"/>
      <w:sz w:val="21"/>
      <w:szCs w:val="22"/>
      <w:lang w:val="en-US" w:eastAsia="zh-CN" w:bidi="ar-SA"/>
    </w:rPr>
  </w:style>
  <w:style w:type="paragraph" w:customStyle="1" w:styleId="79">
    <w:name w:val="样式 13 10 磅"/>
    <w:pPr>
      <w:widowControl w:val="0"/>
      <w:jc w:val="both"/>
    </w:pPr>
    <w:rPr>
      <w:rFonts w:ascii="Calibri" w:eastAsia="宋体" w:cs="Times New Roman" w:hAnsi="Calibri"/>
      <w:kern w:val="2"/>
      <w:sz w:val="21"/>
      <w:szCs w:val="22"/>
      <w:lang w:val="en-US" w:eastAsia="zh-CN" w:bidi="ar-SA"/>
    </w:rPr>
  </w:style>
  <w:style w:type="paragraph" w:customStyle="1" w:styleId="80">
    <w:name w:val="样式 14 10 磅"/>
    <w:pPr>
      <w:widowControl w:val="0"/>
      <w:jc w:val="both"/>
    </w:pPr>
    <w:rPr>
      <w:rFonts w:ascii="Calibri" w:eastAsia="宋体" w:cs="Times New Roman" w:hAnsi="Calibri"/>
      <w:kern w:val="2"/>
      <w:sz w:val="21"/>
      <w:szCs w:val="22"/>
      <w:lang w:val="en-US" w:eastAsia="zh-CN" w:bidi="ar-SA"/>
    </w:rPr>
  </w:style>
  <w:style w:type="paragraph" w:customStyle="1" w:styleId="81">
    <w:name w:val="样式 15 10 磅"/>
    <w:pPr>
      <w:widowControl w:val="0"/>
      <w:jc w:val="both"/>
    </w:pPr>
    <w:rPr>
      <w:rFonts w:ascii="Calibri" w:eastAsia="宋体" w:cs="Times New Roman" w:hAnsi="Calibri"/>
      <w:kern w:val="2"/>
      <w:sz w:val="21"/>
      <w:szCs w:val="22"/>
      <w:lang w:val="en-US" w:eastAsia="zh-CN" w:bidi="ar-SA"/>
    </w:rPr>
  </w:style>
  <w:style w:type="paragraph" w:customStyle="1" w:styleId="82">
    <w:name w:val="样式 16 10 磅"/>
    <w:pPr>
      <w:widowControl w:val="0"/>
      <w:jc w:val="both"/>
    </w:pPr>
    <w:rPr>
      <w:rFonts w:ascii="Calibri" w:eastAsia="宋体" w:cs="Times New Roman" w:hAnsi="Calibri"/>
      <w:kern w:val="2"/>
      <w:sz w:val="21"/>
      <w:szCs w:val="22"/>
      <w:lang w:val="en-US" w:eastAsia="zh-CN" w:bidi="ar-SA"/>
    </w:rPr>
  </w:style>
  <w:style w:type="paragraph" w:customStyle="1" w:styleId="83">
    <w:name w:val="样式 17 10 磅"/>
    <w:pPr>
      <w:widowControl w:val="0"/>
      <w:jc w:val="both"/>
    </w:pPr>
    <w:rPr>
      <w:rFonts w:ascii="Calibri" w:eastAsia="宋体" w:cs="Times New Roman" w:hAnsi="Calibri"/>
      <w:kern w:val="2"/>
      <w:sz w:val="21"/>
      <w:szCs w:val="22"/>
      <w:lang w:val="en-US" w:eastAsia="zh-CN" w:bidi="ar-SA"/>
    </w:rPr>
  </w:style>
  <w:style w:type="paragraph" w:customStyle="1" w:styleId="84">
    <w:name w:val="样式 18 10 磅"/>
    <w:pPr>
      <w:widowControl w:val="0"/>
      <w:jc w:val="both"/>
    </w:pPr>
    <w:rPr>
      <w:rFonts w:ascii="Calibri" w:eastAsia="宋体" w:cs="Times New Roman" w:hAnsi="Calibri"/>
      <w:kern w:val="2"/>
      <w:sz w:val="21"/>
      <w:szCs w:val="22"/>
      <w:lang w:val="en-US" w:eastAsia="zh-CN" w:bidi="ar-SA"/>
    </w:rPr>
  </w:style>
  <w:style w:type="paragraph" w:customStyle="1" w:styleId="85">
    <w:name w:val="样式 19 10 磅"/>
    <w:pPr>
      <w:widowControl w:val="0"/>
      <w:jc w:val="both"/>
    </w:pPr>
    <w:rPr>
      <w:rFonts w:ascii="Calibri" w:eastAsia="宋体" w:cs="Times New Roman" w:hAnsi="Calibri"/>
      <w:kern w:val="2"/>
      <w:sz w:val="21"/>
      <w:szCs w:val="22"/>
      <w:lang w:val="en-US" w:eastAsia="zh-CN" w:bidi="ar-SA"/>
    </w:rPr>
  </w:style>
  <w:style w:type="paragraph" w:customStyle="1" w:styleId="86">
    <w:name w:val="样式 20 10 磅"/>
    <w:pPr>
      <w:widowControl w:val="0"/>
      <w:jc w:val="both"/>
    </w:pPr>
    <w:rPr>
      <w:rFonts w:ascii="Calibri" w:eastAsia="宋体" w:cs="Times New Roman" w:hAnsi="Calibri"/>
      <w:kern w:val="2"/>
      <w:sz w:val="21"/>
      <w:szCs w:val="22"/>
      <w:lang w:val="en-US" w:eastAsia="zh-CN" w:bidi="ar-SA"/>
    </w:rPr>
  </w:style>
  <w:style w:type="paragraph" w:customStyle="1" w:styleId="87">
    <w:name w:val="样式 21 10 磅"/>
    <w:pPr>
      <w:widowControl w:val="0"/>
      <w:jc w:val="both"/>
    </w:pPr>
    <w:rPr>
      <w:rFonts w:ascii="Calibri" w:eastAsia="宋体" w:cs="Times New Roman" w:hAnsi="Calibri"/>
      <w:kern w:val="2"/>
      <w:sz w:val="21"/>
      <w:szCs w:val="22"/>
      <w:lang w:val="en-US" w:eastAsia="zh-CN" w:bidi="ar-SA"/>
    </w:rPr>
  </w:style>
  <w:style w:type="paragraph" w:customStyle="1" w:styleId="88">
    <w:name w:val="样式 22 10 磅"/>
    <w:pPr>
      <w:widowControl w:val="0"/>
      <w:jc w:val="both"/>
    </w:pPr>
    <w:rPr>
      <w:rFonts w:ascii="Calibri" w:eastAsia="宋体" w:cs="Times New Roman" w:hAnsi="Calibri"/>
      <w:kern w:val="2"/>
      <w:sz w:val="21"/>
      <w:szCs w:val="22"/>
      <w:lang w:val="en-US" w:eastAsia="zh-CN" w:bidi="ar-SA"/>
    </w:rPr>
  </w:style>
  <w:style w:type="paragraph" w:customStyle="1" w:styleId="89">
    <w:name w:val="样式 23 10 磅"/>
    <w:pPr>
      <w:widowControl w:val="0"/>
      <w:jc w:val="both"/>
    </w:pPr>
    <w:rPr>
      <w:rFonts w:ascii="Calibri" w:eastAsia="宋体" w:cs="Times New Roman" w:hAnsi="Calibri"/>
      <w:kern w:val="2"/>
      <w:sz w:val="21"/>
      <w:szCs w:val="22"/>
      <w:lang w:val="en-US" w:eastAsia="zh-CN" w:bidi="ar-SA"/>
    </w:rPr>
  </w:style>
  <w:style w:type="paragraph" w:customStyle="1" w:styleId="90">
    <w:name w:val="样式 24 10 磅"/>
    <w:pPr>
      <w:widowControl w:val="0"/>
      <w:jc w:val="both"/>
    </w:pPr>
    <w:rPr>
      <w:rFonts w:ascii="Calibri" w:eastAsia="宋体" w:cs="Times New Roman" w:hAnsi="Calibri"/>
      <w:kern w:val="2"/>
      <w:sz w:val="21"/>
      <w:szCs w:val="22"/>
      <w:lang w:val="en-US" w:eastAsia="zh-CN" w:bidi="ar-SA"/>
    </w:rPr>
  </w:style>
  <w:style w:type="paragraph" w:customStyle="1" w:styleId="91">
    <w:name w:val="样式 25 10 磅"/>
    <w:pPr>
      <w:widowControl w:val="0"/>
      <w:jc w:val="both"/>
    </w:pPr>
    <w:rPr>
      <w:rFonts w:ascii="Calibri" w:eastAsia="宋体" w:cs="Times New Roman" w:hAnsi="Calibri"/>
      <w:kern w:val="2"/>
      <w:sz w:val="21"/>
      <w:szCs w:val="22"/>
      <w:lang w:val="en-US" w:eastAsia="zh-CN" w:bidi="ar-SA"/>
    </w:rPr>
  </w:style>
  <w:style w:type="paragraph" w:customStyle="1" w:styleId="92">
    <w:name w:val="样式 26 10 磅"/>
    <w:pPr>
      <w:widowControl w:val="0"/>
      <w:jc w:val="both"/>
    </w:pPr>
    <w:rPr>
      <w:rFonts w:ascii="Calibri" w:eastAsia="宋体" w:cs="Times New Roman" w:hAnsi="Calibri"/>
      <w:kern w:val="2"/>
      <w:sz w:val="21"/>
      <w:szCs w:val="22"/>
      <w:lang w:val="en-US" w:eastAsia="zh-CN" w:bidi="ar-SA"/>
    </w:rPr>
  </w:style>
  <w:style w:type="paragraph" w:customStyle="1" w:styleId="93">
    <w:name w:val="样式 27 10 磅"/>
    <w:pPr>
      <w:widowControl w:val="0"/>
      <w:jc w:val="both"/>
    </w:pPr>
    <w:rPr>
      <w:rFonts w:ascii="Calibri" w:eastAsia="宋体" w:cs="Times New Roman" w:hAnsi="Calibri"/>
      <w:kern w:val="2"/>
      <w:sz w:val="21"/>
      <w:szCs w:val="22"/>
      <w:lang w:val="en-US" w:eastAsia="zh-CN" w:bidi="ar-SA"/>
    </w:rPr>
  </w:style>
  <w:style w:type="paragraph" w:customStyle="1" w:styleId="94">
    <w:name w:val="样式 28 10 磅"/>
    <w:pPr>
      <w:widowControl w:val="0"/>
      <w:jc w:val="both"/>
    </w:pPr>
    <w:rPr>
      <w:rFonts w:ascii="Calibri" w:eastAsia="宋体" w:cs="Times New Roman" w:hAnsi="Calibri"/>
      <w:kern w:val="2"/>
      <w:sz w:val="21"/>
      <w:szCs w:val="22"/>
      <w:lang w:val="en-US" w:eastAsia="zh-CN" w:bidi="ar-SA"/>
    </w:rPr>
  </w:style>
  <w:style w:type="paragraph" w:customStyle="1" w:styleId="95">
    <w:name w:val="样式 29 10 磅"/>
    <w:pPr>
      <w:widowControl w:val="0"/>
      <w:jc w:val="both"/>
    </w:pPr>
    <w:rPr>
      <w:rFonts w:ascii="Calibri" w:eastAsia="宋体" w:cs="Times New Roman" w:hAnsi="Calibri"/>
      <w:kern w:val="2"/>
      <w:sz w:val="21"/>
      <w:szCs w:val="22"/>
      <w:lang w:val="en-US" w:eastAsia="zh-CN" w:bidi="ar-SA"/>
    </w:rPr>
  </w:style>
  <w:style w:type="paragraph" w:customStyle="1" w:styleId="96">
    <w:name w:val="样式 30 10 磅"/>
    <w:pPr>
      <w:widowControl w:val="0"/>
      <w:jc w:val="both"/>
    </w:pPr>
    <w:rPr>
      <w:rFonts w:ascii="Calibri" w:eastAsia="宋体" w:cs="Times New Roman" w:hAnsi="Calibri"/>
      <w:kern w:val="2"/>
      <w:sz w:val="21"/>
      <w:szCs w:val="22"/>
      <w:lang w:val="en-US" w:eastAsia="zh-CN" w:bidi="ar-SA"/>
    </w:rPr>
  </w:style>
  <w:style w:type="paragraph" w:customStyle="1" w:styleId="97">
    <w:name w:val="样式 31 10 磅"/>
    <w:pPr>
      <w:widowControl w:val="0"/>
      <w:jc w:val="both"/>
    </w:pPr>
    <w:rPr>
      <w:rFonts w:ascii="Calibri" w:eastAsia="宋体" w:cs="Times New Roman" w:hAnsi="Calibri"/>
      <w:kern w:val="2"/>
      <w:sz w:val="21"/>
      <w:szCs w:val="22"/>
      <w:lang w:val="en-US" w:eastAsia="zh-CN" w:bidi="ar-SA"/>
    </w:rPr>
  </w:style>
  <w:style w:type="paragraph" w:customStyle="1" w:styleId="98">
    <w:name w:val="样式 32 10 磅"/>
    <w:pPr>
      <w:widowControl w:val="0"/>
      <w:jc w:val="both"/>
    </w:pPr>
    <w:rPr>
      <w:rFonts w:ascii="Calibri" w:eastAsia="宋体" w:cs="Times New Roman" w:hAnsi="Calibri"/>
      <w:kern w:val="2"/>
      <w:sz w:val="21"/>
      <w:szCs w:val="22"/>
      <w:lang w:val="en-US" w:eastAsia="zh-CN" w:bidi="ar-SA"/>
    </w:rPr>
  </w:style>
  <w:style w:type="paragraph" w:customStyle="1" w:styleId="99">
    <w:name w:val="样式 33 10 磅"/>
    <w:pPr>
      <w:widowControl w:val="0"/>
      <w:jc w:val="both"/>
    </w:pPr>
    <w:rPr>
      <w:rFonts w:ascii="Calibri" w:eastAsia="宋体" w:cs="Times New Roman" w:hAnsi="Calibri"/>
      <w:kern w:val="2"/>
      <w:sz w:val="21"/>
      <w:szCs w:val="22"/>
      <w:lang w:val="en-US" w:eastAsia="zh-CN" w:bidi="ar-SA"/>
    </w:rPr>
  </w:style>
  <w:style w:type="paragraph" w:customStyle="1" w:styleId="100">
    <w:name w:val="样式 34 10 磅"/>
    <w:pPr>
      <w:widowControl w:val="0"/>
      <w:jc w:val="both"/>
    </w:pPr>
    <w:rPr>
      <w:rFonts w:ascii="Calibri" w:eastAsia="宋体" w:cs="Times New Roman" w:hAnsi="Calibri"/>
      <w:kern w:val="2"/>
      <w:sz w:val="21"/>
      <w:szCs w:val="22"/>
      <w:lang w:val="en-US" w:eastAsia="zh-CN" w:bidi="ar-SA"/>
    </w:rPr>
  </w:style>
  <w:style w:type="paragraph" w:customStyle="1" w:styleId="101">
    <w:name w:val="样式 35 10 磅"/>
    <w:pPr>
      <w:widowControl w:val="0"/>
      <w:jc w:val="both"/>
    </w:pPr>
    <w:rPr>
      <w:rFonts w:ascii="Calibri" w:eastAsia="宋体" w:cs="Times New Roman" w:hAnsi="Calibri"/>
      <w:kern w:val="2"/>
      <w:sz w:val="21"/>
      <w:szCs w:val="22"/>
      <w:lang w:val="en-US" w:eastAsia="zh-CN" w:bidi="ar-SA"/>
    </w:rPr>
  </w:style>
  <w:style w:type="paragraph" w:customStyle="1" w:styleId="102">
    <w:name w:val="样式 36 10 磅"/>
    <w:pPr>
      <w:widowControl w:val="0"/>
      <w:jc w:val="both"/>
    </w:pPr>
    <w:rPr>
      <w:rFonts w:ascii="Calibri" w:eastAsia="宋体" w:cs="Times New Roman" w:hAnsi="Calibri"/>
      <w:kern w:val="2"/>
      <w:sz w:val="21"/>
      <w:szCs w:val="22"/>
      <w:lang w:val="en-US" w:eastAsia="zh-CN" w:bidi="ar-SA"/>
    </w:rPr>
  </w:style>
  <w:style w:type="paragraph" w:customStyle="1" w:styleId="103">
    <w:name w:val="样式 37 10 磅"/>
    <w:pPr>
      <w:widowControl w:val="0"/>
      <w:jc w:val="both"/>
    </w:pPr>
    <w:rPr>
      <w:rFonts w:ascii="Calibri" w:eastAsia="宋体" w:cs="Times New Roman" w:hAnsi="Calibri"/>
      <w:kern w:val="2"/>
      <w:sz w:val="21"/>
      <w:szCs w:val="22"/>
      <w:lang w:val="en-US" w:eastAsia="zh-CN" w:bidi="ar-SA"/>
    </w:rPr>
  </w:style>
  <w:style w:type="paragraph" w:customStyle="1" w:styleId="104">
    <w:name w:val="样式 38 10 磅"/>
    <w:pPr>
      <w:widowControl w:val="0"/>
      <w:jc w:val="both"/>
    </w:pPr>
    <w:rPr>
      <w:rFonts w:ascii="Calibri" w:eastAsia="宋体" w:cs="Times New Roman" w:hAnsi="Calibri"/>
      <w:kern w:val="2"/>
      <w:sz w:val="21"/>
      <w:szCs w:val="22"/>
      <w:lang w:val="en-US" w:eastAsia="zh-CN" w:bidi="ar-SA"/>
    </w:rPr>
  </w:style>
  <w:style w:type="paragraph" w:customStyle="1" w:styleId="105">
    <w:name w:val="样式 39 10 磅"/>
    <w:pPr>
      <w:widowControl w:val="0"/>
      <w:jc w:val="both"/>
    </w:pPr>
    <w:rPr>
      <w:rFonts w:ascii="Calibri" w:eastAsia="宋体" w:cs="Times New Roman" w:hAnsi="Calibri"/>
      <w:kern w:val="2"/>
      <w:sz w:val="21"/>
      <w:szCs w:val="22"/>
      <w:lang w:val="en-US" w:eastAsia="zh-CN" w:bidi="ar-SA"/>
    </w:rPr>
  </w:style>
  <w:style w:type="paragraph" w:customStyle="1" w:styleId="106">
    <w:name w:val="样式 40 10 磅"/>
    <w:pPr>
      <w:widowControl w:val="0"/>
      <w:jc w:val="both"/>
    </w:pPr>
    <w:rPr>
      <w:rFonts w:ascii="Calibri" w:eastAsia="宋体" w:cs="Times New Roman" w:hAnsi="Calibri"/>
      <w:kern w:val="2"/>
      <w:sz w:val="21"/>
      <w:szCs w:val="22"/>
      <w:lang w:val="en-US" w:eastAsia="zh-CN" w:bidi="ar-SA"/>
    </w:rPr>
  </w:style>
  <w:style w:type="paragraph" w:customStyle="1" w:styleId="107">
    <w:name w:val="样式 41 10 磅"/>
    <w:pPr>
      <w:widowControl w:val="0"/>
      <w:jc w:val="both"/>
    </w:pPr>
    <w:rPr>
      <w:rFonts w:ascii="Calibri" w:eastAsia="宋体" w:cs="Times New Roman" w:hAnsi="Calibri"/>
      <w:kern w:val="2"/>
      <w:sz w:val="21"/>
      <w:szCs w:val="22"/>
      <w:lang w:val="en-US" w:eastAsia="zh-CN" w:bidi="ar-SA"/>
    </w:rPr>
  </w:style>
  <w:style w:type="paragraph" w:customStyle="1" w:styleId="108">
    <w:name w:val="样式 42 10 磅"/>
    <w:pPr>
      <w:widowControl w:val="0"/>
      <w:jc w:val="both"/>
    </w:pPr>
    <w:rPr>
      <w:rFonts w:ascii="Calibri" w:eastAsia="宋体" w:cs="Times New Roman" w:hAnsi="Calibri"/>
      <w:kern w:val="2"/>
      <w:sz w:val="21"/>
      <w:szCs w:val="22"/>
      <w:lang w:val="en-US" w:eastAsia="zh-CN" w:bidi="ar-SA"/>
    </w:rPr>
  </w:style>
  <w:style w:type="paragraph" w:customStyle="1" w:styleId="109">
    <w:name w:val="样式 43 10 磅"/>
    <w:pPr>
      <w:widowControl w:val="0"/>
      <w:jc w:val="both"/>
    </w:pPr>
    <w:rPr>
      <w:rFonts w:ascii="Calibri" w:eastAsia="宋体" w:cs="Times New Roman" w:hAnsi="Calibri"/>
      <w:kern w:val="2"/>
      <w:sz w:val="21"/>
      <w:szCs w:val="22"/>
      <w:lang w:val="en-US" w:eastAsia="zh-CN" w:bidi="ar-SA"/>
    </w:rPr>
  </w:style>
  <w:style w:type="paragraph" w:customStyle="1" w:styleId="110">
    <w:name w:val="样式 44 10 磅"/>
    <w:pPr>
      <w:widowControl w:val="0"/>
      <w:jc w:val="both"/>
    </w:pPr>
    <w:rPr>
      <w:rFonts w:ascii="Calibri" w:eastAsia="宋体" w:cs="Times New Roman" w:hAnsi="Calibri"/>
      <w:kern w:val="2"/>
      <w:sz w:val="21"/>
      <w:szCs w:val="22"/>
      <w:lang w:val="en-US" w:eastAsia="zh-CN" w:bidi="ar-SA"/>
    </w:rPr>
  </w:style>
  <w:style w:type="paragraph" w:customStyle="1" w:styleId="111">
    <w:name w:val="样式 45 10 磅"/>
    <w:pPr>
      <w:widowControl w:val="0"/>
      <w:jc w:val="both"/>
    </w:pPr>
    <w:rPr>
      <w:rFonts w:ascii="Calibri" w:eastAsia="宋体" w:cs="Times New Roman" w:hAnsi="Calibri"/>
      <w:kern w:val="2"/>
      <w:sz w:val="21"/>
      <w:szCs w:val="22"/>
      <w:lang w:val="en-US" w:eastAsia="zh-CN" w:bidi="ar-SA"/>
    </w:rPr>
  </w:style>
  <w:style w:type="paragraph" w:customStyle="1" w:styleId="112">
    <w:name w:val="样式 46 10 磅"/>
    <w:pPr>
      <w:widowControl w:val="0"/>
      <w:jc w:val="both"/>
    </w:pPr>
    <w:rPr>
      <w:rFonts w:ascii="Calibri" w:eastAsia="宋体" w:cs="Times New Roman" w:hAnsi="Calibri"/>
      <w:kern w:val="2"/>
      <w:sz w:val="21"/>
      <w:szCs w:val="22"/>
      <w:lang w:val="en-US" w:eastAsia="zh-CN" w:bidi="ar-SA"/>
    </w:rPr>
  </w:style>
  <w:style w:type="paragraph" w:customStyle="1" w:styleId="113">
    <w:name w:val="样式 47 10 磅"/>
    <w:pPr>
      <w:widowControl w:val="0"/>
      <w:jc w:val="both"/>
    </w:pPr>
    <w:rPr>
      <w:rFonts w:ascii="Calibri" w:eastAsia="宋体" w:cs="Times New Roman" w:hAnsi="Calibri"/>
      <w:kern w:val="2"/>
      <w:sz w:val="21"/>
      <w:szCs w:val="22"/>
      <w:lang w:val="en-US" w:eastAsia="zh-CN" w:bidi="ar-SA"/>
    </w:rPr>
  </w:style>
  <w:style w:type="paragraph" w:customStyle="1" w:styleId="114">
    <w:name w:val="样式 48 10 磅"/>
    <w:pPr>
      <w:widowControl w:val="0"/>
      <w:jc w:val="both"/>
    </w:pPr>
    <w:rPr>
      <w:rFonts w:ascii="Calibri" w:eastAsia="宋体" w:cs="Times New Roman" w:hAnsi="Calibri"/>
      <w:kern w:val="2"/>
      <w:sz w:val="21"/>
      <w:szCs w:val="22"/>
      <w:lang w:val="en-US" w:eastAsia="zh-CN" w:bidi="ar-SA"/>
    </w:rPr>
  </w:style>
  <w:style w:type="paragraph" w:customStyle="1" w:styleId="115">
    <w:name w:val="样式 49 10 磅"/>
    <w:pPr>
      <w:widowControl w:val="0"/>
      <w:jc w:val="both"/>
    </w:pPr>
    <w:rPr>
      <w:rFonts w:ascii="Calibri" w:eastAsia="宋体" w:cs="Times New Roman" w:hAnsi="Calibri"/>
      <w:kern w:val="2"/>
      <w:sz w:val="21"/>
      <w:szCs w:val="22"/>
      <w:lang w:val="en-US" w:eastAsia="zh-CN" w:bidi="ar-SA"/>
    </w:rPr>
  </w:style>
  <w:style w:type="paragraph" w:customStyle="1" w:styleId="116">
    <w:name w:val="样式 50 10 磅"/>
    <w:pPr>
      <w:widowControl w:val="0"/>
      <w:jc w:val="both"/>
    </w:pPr>
    <w:rPr>
      <w:rFonts w:ascii="Calibri" w:eastAsia="宋体" w:cs="Times New Roman" w:hAnsi="Calibri"/>
      <w:kern w:val="2"/>
      <w:sz w:val="21"/>
      <w:szCs w:val="22"/>
      <w:lang w:val="en-US" w:eastAsia="zh-CN" w:bidi="ar-SA"/>
    </w:rPr>
  </w:style>
  <w:style w:type="paragraph" w:customStyle="1" w:styleId="117">
    <w:name w:val="样式 51 10 磅"/>
    <w:pPr>
      <w:widowControl w:val="0"/>
      <w:jc w:val="both"/>
    </w:pPr>
    <w:rPr>
      <w:rFonts w:ascii="Calibri" w:eastAsia="宋体" w:cs="Times New Roman" w:hAnsi="Calibri"/>
      <w:kern w:val="2"/>
      <w:sz w:val="21"/>
      <w:szCs w:val="22"/>
      <w:lang w:val="en-US" w:eastAsia="zh-CN" w:bidi="ar-SA"/>
    </w:rPr>
  </w:style>
  <w:style w:type="paragraph" w:customStyle="1" w:styleId="118">
    <w:name w:val="样式 52 10 磅"/>
    <w:pPr>
      <w:widowControl w:val="0"/>
      <w:jc w:val="both"/>
    </w:pPr>
    <w:rPr>
      <w:rFonts w:ascii="Calibri" w:eastAsia="宋体" w:cs="Times New Roman" w:hAnsi="Calibri"/>
      <w:kern w:val="2"/>
      <w:sz w:val="21"/>
      <w:szCs w:val="22"/>
      <w:lang w:val="en-US" w:eastAsia="zh-CN" w:bidi="ar-SA"/>
    </w:rPr>
  </w:style>
  <w:style w:type="paragraph" w:customStyle="1" w:styleId="119">
    <w:name w:val="样式 1 10 磅"/>
    <w:pPr>
      <w:widowControl w:val="0"/>
      <w:jc w:val="both"/>
    </w:pPr>
    <w:rPr>
      <w:rFonts w:ascii="Calibri" w:eastAsia="宋体" w:cs="Times New Roman" w:hAnsi="Calibri"/>
      <w:kern w:val="2"/>
      <w:sz w:val="21"/>
      <w:szCs w:val="22"/>
      <w:lang w:val="en-US" w:eastAsia="zh-CN" w:bidi="ar-SA"/>
    </w:rPr>
  </w:style>
  <w:style w:type="paragraph" w:customStyle="1" w:styleId="120">
    <w:name w:val="样式 53 10 磅"/>
    <w:pPr>
      <w:widowControl w:val="0"/>
      <w:jc w:val="both"/>
    </w:pPr>
    <w:rPr>
      <w:rFonts w:ascii="Calibri" w:eastAsia="宋体" w:cs="Times New Roman" w:hAnsi="Calibri"/>
      <w:kern w:val="2"/>
      <w:sz w:val="21"/>
      <w:szCs w:val="22"/>
      <w:lang w:val="en-US" w:eastAsia="zh-CN" w:bidi="ar-SA"/>
    </w:rPr>
  </w:style>
  <w:style w:type="paragraph" w:customStyle="1" w:styleId="121">
    <w:name w:val="样式 54 10 磅"/>
    <w:pPr>
      <w:widowControl w:val="0"/>
      <w:jc w:val="both"/>
    </w:pPr>
    <w:rPr>
      <w:rFonts w:ascii="Calibri" w:eastAsia="宋体" w:cs="Times New Roman" w:hAnsi="Calibri"/>
      <w:kern w:val="2"/>
      <w:sz w:val="21"/>
      <w:szCs w:val="22"/>
      <w:lang w:val="en-US" w:eastAsia="zh-CN" w:bidi="ar-SA"/>
    </w:rPr>
  </w:style>
  <w:style w:type="paragraph" w:customStyle="1" w:styleId="122">
    <w:name w:val="样式 55 10 磅"/>
    <w:pPr>
      <w:widowControl w:val="0"/>
      <w:jc w:val="both"/>
    </w:pPr>
    <w:rPr>
      <w:rFonts w:ascii="Calibri" w:eastAsia="宋体" w:cs="Times New Roman" w:hAnsi="Calibri"/>
      <w:kern w:val="2"/>
      <w:sz w:val="21"/>
      <w:szCs w:val="22"/>
      <w:lang w:val="en-US" w:eastAsia="zh-CN" w:bidi="ar-SA"/>
    </w:rPr>
  </w:style>
  <w:style w:type="paragraph" w:customStyle="1" w:styleId="123">
    <w:name w:val="样式 56 10 磅"/>
    <w:pPr>
      <w:widowControl w:val="0"/>
      <w:jc w:val="both"/>
    </w:pPr>
    <w:rPr>
      <w:rFonts w:ascii="Calibri" w:eastAsia="宋体" w:cs="Times New Roman" w:hAnsi="Calibri"/>
      <w:kern w:val="2"/>
      <w:sz w:val="21"/>
      <w:szCs w:val="22"/>
      <w:lang w:val="en-US" w:eastAsia="zh-CN" w:bidi="ar-SA"/>
    </w:rPr>
  </w:style>
  <w:style w:type="paragraph" w:customStyle="1" w:styleId="124">
    <w:name w:val="样式 57 10 磅"/>
    <w:pPr>
      <w:widowControl w:val="0"/>
      <w:jc w:val="both"/>
    </w:pPr>
    <w:rPr>
      <w:rFonts w:ascii="Calibri" w:eastAsia="宋体" w:cs="Times New Roman" w:hAnsi="Calibri"/>
      <w:kern w:val="2"/>
      <w:sz w:val="21"/>
      <w:szCs w:val="22"/>
      <w:lang w:val="en-US" w:eastAsia="zh-CN" w:bidi="ar-SA"/>
    </w:rPr>
  </w:style>
  <w:style w:type="paragraph" w:customStyle="1" w:styleId="125">
    <w:name w:val="样式 58 10 磅"/>
    <w:pPr>
      <w:widowControl w:val="0"/>
      <w:jc w:val="both"/>
    </w:pPr>
    <w:rPr>
      <w:rFonts w:ascii="Calibri" w:eastAsia="宋体" w:cs="Times New Roman" w:hAnsi="Calibri"/>
      <w:kern w:val="2"/>
      <w:sz w:val="21"/>
      <w:szCs w:val="22"/>
      <w:lang w:val="en-US" w:eastAsia="zh-CN" w:bidi="ar-SA"/>
    </w:rPr>
  </w:style>
  <w:style w:type="paragraph" w:customStyle="1" w:styleId="126">
    <w:name w:val="样式 59 10 磅"/>
    <w:pPr>
      <w:widowControl w:val="0"/>
      <w:jc w:val="both"/>
    </w:pPr>
    <w:rPr>
      <w:rFonts w:ascii="Calibri" w:eastAsia="宋体" w:cs="Times New Roman" w:hAnsi="Calibri"/>
      <w:kern w:val="2"/>
      <w:sz w:val="21"/>
      <w:szCs w:val="22"/>
      <w:lang w:val="en-US" w:eastAsia="zh-CN" w:bidi="ar-SA"/>
    </w:rPr>
  </w:style>
  <w:style w:type="paragraph" w:customStyle="1" w:styleId="127">
    <w:name w:val="样式 60 10 磅"/>
    <w:pPr>
      <w:widowControl w:val="0"/>
      <w:jc w:val="both"/>
    </w:pPr>
    <w:rPr>
      <w:rFonts w:ascii="Calibri" w:eastAsia="宋体" w:cs="Times New Roman" w:hAnsi="Calibri"/>
      <w:kern w:val="2"/>
      <w:sz w:val="21"/>
      <w:szCs w:val="22"/>
      <w:lang w:val="en-US" w:eastAsia="zh-CN" w:bidi="ar-SA"/>
    </w:rPr>
  </w:style>
  <w:style w:type="paragraph" w:customStyle="1" w:styleId="128">
    <w:name w:val="样式 61 10 磅"/>
    <w:pPr>
      <w:widowControl w:val="0"/>
      <w:jc w:val="both"/>
    </w:pPr>
    <w:rPr>
      <w:rFonts w:ascii="Calibri" w:eastAsia="宋体" w:cs="Times New Roman" w:hAnsi="Calibri"/>
      <w:kern w:val="2"/>
      <w:sz w:val="21"/>
      <w:szCs w:val="22"/>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fontTable" Target="fontTable.xml"/></Relationships>
</file>

<file path=docProps/app.xml><?xml version="1.0" encoding="utf-8"?>
<Properties xmlns="http://schemas.openxmlformats.org/officeDocument/2006/extended-properties">
  <Template>Normal.eit</Template>
  <TotalTime>32</TotalTime>
  <Application>Yozo_Office</Application>
  <Pages>7</Pages>
  <Words>3678</Words>
  <Characters>3692</Characters>
  <Lines>169</Lines>
  <Paragraphs>87</Paragraphs>
  <CharactersWithSpaces>3770</CharactersWithSpaces>
  <Company>Yozosoft</Company>
</Properties>
</file>

<file path=docProps/core.xml><?xml version="1.0" encoding="utf-8"?>
<cp:coreProperties xmlns:cp="http://schemas.openxmlformats.org/package/2006/metadata/core-properties" xmlns:dc="http://purl.org/dc/elements/1.1/" xmlns:dcterms="http://purl.org/dc/terms/" xmlns:xsi="http://www.w3.org/2001/XMLSchema-instance">
  <dc:creator>User274</dc:creator>
  <cp:lastModifiedBy>王章禄</cp:lastModifiedBy>
  <cp:revision>1</cp:revision>
  <dcterms:created xsi:type="dcterms:W3CDTF">2021-05-08T07:28:00Z</dcterms:created>
  <dcterms:modified xsi:type="dcterms:W3CDTF">2025-10-14T03:03:35Z</dcterms:modified>
</cp:coreProperties>
</file>