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hint="eastAsia"/>
          <w:b/>
          <w:sz w:val="84"/>
          <w:szCs w:val="84"/>
          <w:shd w:val="clear" w:color="auto" w:fill="auto"/>
        </w:rPr>
      </w:pPr>
      <w:r>
        <w:rPr>
          <w:rFonts w:ascii="Times New Roman" w:hAnsi="Times New Roman" w:hint="eastAsia"/>
          <w:b/>
          <w:sz w:val="84"/>
          <w:szCs w:val="84"/>
          <w:shd w:val="clear" w:color="auto" w:fill="auto"/>
        </w:rPr>
        <w:t>武夷山海关部门预算</w:t>
      </w:r>
    </w:p>
    <w:p>
      <w:pPr>
        <w:jc w:val="center"/>
        <w:rPr>
          <w:rFonts w:ascii="Times New Roman" w:hAnsi="Times New Roman"/>
          <w:sz w:val="44"/>
          <w:szCs w:val="44"/>
        </w:rPr>
      </w:pPr>
      <w:r>
        <w:rPr>
          <w:rFonts w:ascii="Times New Roman" w:hAnsi="Times New Roman" w:hint="eastAsia"/>
          <w:sz w:val="44"/>
          <w:szCs w:val="44"/>
        </w:rPr>
        <w:t>202</w:t>
      </w:r>
      <w:r>
        <w:rPr>
          <w:rFonts w:ascii="Times New Roman" w:hAnsi="Times New Roman"/>
          <w:sz w:val="44"/>
          <w:szCs w:val="44"/>
        </w:rPr>
        <w:t>6</w:t>
      </w:r>
      <w:r>
        <w:rPr>
          <w:rFonts w:ascii="Times New Roman" w:hAnsi="Times New Roman" w:hint="eastAsia"/>
          <w:sz w:val="44"/>
          <w:szCs w:val="44"/>
        </w:rPr>
        <w:t>年</w:t>
      </w:r>
    </w:p>
    <w:p>
      <w:pPr>
        <w:jc w:val="center"/>
        <w:rPr>
          <w:rFonts w:ascii="Times New Roman" w:hAnsi="Times New Roman"/>
          <w:sz w:val="44"/>
          <w:szCs w:val="44"/>
        </w:rPr>
      </w:pPr>
      <w:r>
        <w:rPr>
          <w:rFonts w:ascii="Times New Roman" w:hAnsi="Times New Roman" w:hint="eastAsia"/>
          <w:sz w:val="44"/>
          <w:szCs w:val="44"/>
        </w:rPr>
        <w:t xml:space="preserve"> </w:t>
      </w:r>
    </w:p>
    <w:p>
      <w:pPr>
        <w:jc w:val="center"/>
        <w:rPr>
          <w:rFonts w:ascii="Times New Roman" w:hAnsi="Times New Roman"/>
          <w:sz w:val="44"/>
          <w:szCs w:val="44"/>
        </w:rPr>
      </w:pPr>
    </w:p>
    <w:p>
      <w:pPr>
        <w:jc w:val="center"/>
        <w:rPr>
          <w:rFonts w:ascii="Times New Roman" w:hAnsi="Times New Roman"/>
          <w:sz w:val="44"/>
          <w:szCs w:val="44"/>
        </w:rPr>
      </w:pPr>
    </w:p>
    <w:p>
      <w:pPr>
        <w:jc w:val="center"/>
        <w:rPr>
          <w:rFonts w:ascii="Times New Roman" w:hAnsi="Times New Roman"/>
          <w:sz w:val="44"/>
          <w:szCs w:val="4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sectPr>
          <w:pgSz w:w="11907" w:h="16840"/>
          <w:pgMar w:top="1440" w:right="1797" w:bottom="1440" w:left="1797" w:header="851" w:footer="992" w:gutter="0"/>
          <w:pgNumType w:start="0"/>
          <w:docGrid w:type="lines" w:linePitch="312" w:charSpace="0"/>
        </w:sectPr>
      </w:pPr>
    </w:p>
    <w:p>
      <w:pPr>
        <w:jc w:val="center"/>
        <w:rPr>
          <w:rFonts w:ascii="Times New Roman" w:cs="Times New Roman" w:hAnsi="Times New Roman"/>
          <w:b/>
          <w:sz w:val="84"/>
          <w:szCs w:val="84"/>
        </w:rPr>
      </w:pPr>
      <w:r>
        <w:rPr>
          <w:rFonts w:ascii="Times New Roman" w:eastAsia="方正仿宋_GBK" w:hAnsi="Times New Roman"/>
          <w:sz w:val="84"/>
          <w:szCs w:val="84"/>
        </w:rPr>
        <w:tab/>
      </w:r>
      <w:r>
        <w:rPr>
          <w:rFonts w:ascii="宋体" w:hint="eastAsia"/>
          <w:b/>
          <w:sz w:val="84"/>
          <w:szCs w:val="84"/>
        </w:rPr>
        <w:t>目</w:t>
      </w:r>
      <w:r>
        <w:rPr>
          <w:b/>
          <w:sz w:val="84"/>
          <w:szCs w:val="84"/>
        </w:rPr>
        <w:t xml:space="preserve">  </w:t>
      </w:r>
      <w:r>
        <w:rPr>
          <w:rFonts w:ascii="宋体" w:hint="eastAsia"/>
          <w:b/>
          <w:sz w:val="84"/>
          <w:szCs w:val="84"/>
        </w:rPr>
        <w:t>录</w:t>
      </w:r>
    </w:p>
    <w:p>
      <w:pPr>
        <w:jc w:val="center"/>
        <w:rPr>
          <w:b/>
          <w:sz w:val="84"/>
          <w:szCs w:val="84"/>
        </w:rPr>
      </w:pPr>
      <w:r>
        <w:rPr>
          <w:b/>
          <w:sz w:val="84"/>
          <w:szCs w:val="84"/>
        </w:rPr>
        <w:t xml:space="preserve"> </w:t>
      </w:r>
    </w:p>
    <w:p>
      <w:pPr>
        <w:rPr>
          <w:b/>
          <w:sz w:val="44"/>
          <w:szCs w:val="44"/>
        </w:rPr>
      </w:pPr>
      <w:r>
        <w:rPr>
          <w:rFonts w:ascii="宋体" w:hint="eastAsia"/>
          <w:b/>
          <w:sz w:val="44"/>
          <w:szCs w:val="44"/>
        </w:rPr>
        <w:t>第一部分</w:t>
      </w:r>
      <w:r>
        <w:rPr>
          <w:rFonts w:hint="eastAsia"/>
          <w:b/>
          <w:sz w:val="44"/>
          <w:szCs w:val="44"/>
        </w:rPr>
        <w:t xml:space="preserve">  </w:t>
      </w:r>
      <w:r>
        <w:rPr>
          <w:b/>
          <w:sz w:val="44"/>
          <w:szCs w:val="44"/>
        </w:rPr>
        <w:t>武夷山海关</w:t>
      </w:r>
      <w:r>
        <w:rPr>
          <w:rFonts w:ascii="宋体" w:hint="eastAsia"/>
          <w:b/>
          <w:sz w:val="44"/>
          <w:szCs w:val="44"/>
        </w:rPr>
        <w:t>部门概况</w:t>
      </w:r>
    </w:p>
    <w:p>
      <w:pPr>
        <w:rPr>
          <w:sz w:val="36"/>
          <w:szCs w:val="36"/>
        </w:rPr>
      </w:pPr>
      <w:r>
        <w:rPr>
          <w:rFonts w:ascii="宋体" w:hint="eastAsia"/>
          <w:sz w:val="36"/>
          <w:szCs w:val="36"/>
        </w:rPr>
        <w:t>一、主要职能</w:t>
      </w:r>
    </w:p>
    <w:p>
      <w:pPr>
        <w:rPr>
          <w:sz w:val="36"/>
          <w:szCs w:val="36"/>
        </w:rPr>
      </w:pPr>
      <w:r>
        <w:rPr>
          <w:rFonts w:ascii="宋体" w:hint="eastAsia"/>
          <w:sz w:val="36"/>
          <w:szCs w:val="36"/>
        </w:rPr>
        <w:t>二、单位构成情况</w:t>
      </w:r>
      <w:r>
        <w:rPr>
          <w:rFonts w:hint="eastAsia"/>
          <w:sz w:val="36"/>
          <w:szCs w:val="36"/>
        </w:rPr>
        <w:t xml:space="preserve"> </w:t>
      </w:r>
    </w:p>
    <w:p>
      <w:pPr>
        <w:rPr>
          <w:b/>
          <w:sz w:val="44"/>
          <w:szCs w:val="44"/>
        </w:rPr>
      </w:pPr>
      <w:r>
        <w:rPr>
          <w:rFonts w:ascii="宋体" w:hint="eastAsia"/>
          <w:b/>
          <w:sz w:val="44"/>
          <w:szCs w:val="44"/>
        </w:rPr>
        <w:t>第二部分</w:t>
      </w:r>
      <w:r>
        <w:rPr>
          <w:rFonts w:hint="eastAsia"/>
          <w:b/>
          <w:sz w:val="44"/>
          <w:szCs w:val="44"/>
        </w:rPr>
        <w:t xml:space="preserve">  武夷山</w:t>
      </w:r>
      <w:r>
        <w:rPr>
          <w:rFonts w:ascii="宋体" w:hint="eastAsia"/>
          <w:b/>
          <w:sz w:val="44"/>
          <w:szCs w:val="44"/>
        </w:rPr>
        <w:t>海关</w:t>
      </w:r>
      <w:r>
        <w:rPr>
          <w:b/>
          <w:sz w:val="44"/>
          <w:szCs w:val="44"/>
        </w:rPr>
        <w:t>2026</w:t>
      </w:r>
      <w:r>
        <w:rPr>
          <w:rFonts w:ascii="宋体" w:hint="eastAsia"/>
          <w:b/>
          <w:sz w:val="44"/>
          <w:szCs w:val="44"/>
        </w:rPr>
        <w:t>年部门预算表</w:t>
      </w:r>
    </w:p>
    <w:p>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pPr>
        <w:pStyle w:val="28"/>
        <w:rPr>
          <w:sz w:val="36"/>
          <w:szCs w:val="36"/>
        </w:rPr>
      </w:pPr>
      <w:r>
        <w:rPr>
          <w:rFonts w:ascii="宋体" w:hint="eastAsia"/>
          <w:sz w:val="36"/>
          <w:szCs w:val="36"/>
        </w:rPr>
        <w:t>二、部门收入总表</w:t>
      </w:r>
    </w:p>
    <w:p>
      <w:pPr>
        <w:pStyle w:val="27"/>
        <w:rPr>
          <w:sz w:val="36"/>
          <w:szCs w:val="36"/>
        </w:rPr>
      </w:pPr>
      <w:r>
        <w:rPr>
          <w:rFonts w:ascii="宋体" w:hint="eastAsia"/>
          <w:sz w:val="36"/>
          <w:szCs w:val="36"/>
        </w:rPr>
        <w:t>三、部门支出总表</w:t>
      </w:r>
    </w:p>
    <w:p>
      <w:pPr>
        <w:rPr>
          <w:sz w:val="36"/>
          <w:szCs w:val="36"/>
        </w:rPr>
      </w:pPr>
      <w:r>
        <w:rPr>
          <w:rFonts w:ascii="宋体" w:hint="eastAsia"/>
          <w:sz w:val="36"/>
          <w:szCs w:val="36"/>
        </w:rPr>
        <w:t>四、</w:t>
      </w:r>
      <w:r>
        <w:rPr>
          <w:rFonts w:ascii="宋体"/>
          <w:sz w:val="36"/>
          <w:szCs w:val="36"/>
        </w:rPr>
        <w:t>财政拨款收支总表</w:t>
      </w:r>
    </w:p>
    <w:p>
      <w:pPr>
        <w:rPr>
          <w:sz w:val="36"/>
          <w:szCs w:val="36"/>
        </w:rPr>
      </w:pPr>
      <w:r>
        <w:rPr>
          <w:rFonts w:ascii="宋体" w:hint="eastAsia"/>
          <w:sz w:val="36"/>
          <w:szCs w:val="36"/>
        </w:rPr>
        <w:t>五、</w:t>
      </w:r>
      <w:r>
        <w:rPr>
          <w:rFonts w:ascii="宋体"/>
          <w:sz w:val="36"/>
          <w:szCs w:val="36"/>
        </w:rPr>
        <w:t>一般公共预算支出表</w:t>
      </w:r>
    </w:p>
    <w:p>
      <w:pPr>
        <w:rPr>
          <w:color w:val="339966"/>
          <w:sz w:val="36"/>
          <w:szCs w:val="36"/>
        </w:rPr>
      </w:pPr>
      <w:r>
        <w:rPr>
          <w:rFonts w:ascii="宋体" w:hint="eastAsia"/>
          <w:sz w:val="36"/>
          <w:szCs w:val="36"/>
        </w:rPr>
        <w:t>六、</w:t>
      </w:r>
      <w:r>
        <w:rPr>
          <w:rFonts w:ascii="宋体"/>
          <w:sz w:val="36"/>
          <w:szCs w:val="36"/>
        </w:rPr>
        <w:t>一般公共预算基本支出表</w:t>
      </w:r>
    </w:p>
    <w:p>
      <w:pPr>
        <w:rPr>
          <w:sz w:val="36"/>
          <w:szCs w:val="36"/>
        </w:rPr>
      </w:pPr>
      <w:r>
        <w:rPr>
          <w:rFonts w:ascii="宋体" w:hint="eastAsia"/>
          <w:sz w:val="36"/>
          <w:szCs w:val="36"/>
        </w:rPr>
        <w:t>七、</w:t>
      </w:r>
      <w:r>
        <w:rPr>
          <w:rFonts w:ascii="宋体"/>
          <w:sz w:val="36"/>
          <w:szCs w:val="36"/>
        </w:rPr>
        <w:t>政府性基金预算支出表</w:t>
      </w:r>
    </w:p>
    <w:p>
      <w:pPr>
        <w:rPr>
          <w:rFonts w:ascii="宋体"/>
          <w:sz w:val="36"/>
          <w:szCs w:val="36"/>
        </w:rPr>
      </w:pPr>
      <w:r>
        <w:rPr>
          <w:rFonts w:ascii="宋体" w:hint="eastAsia"/>
          <w:sz w:val="36"/>
          <w:szCs w:val="36"/>
        </w:rPr>
        <w:t>八、</w:t>
      </w:r>
      <w:r>
        <w:rPr>
          <w:rFonts w:ascii="宋体"/>
          <w:sz w:val="36"/>
          <w:szCs w:val="36"/>
        </w:rPr>
        <w:t>国有资本经营预算支出表</w:t>
      </w:r>
    </w:p>
    <w:p>
      <w:pPr>
        <w:rPr>
          <w:sz w:val="36"/>
          <w:szCs w:val="36"/>
        </w:rPr>
      </w:pPr>
      <w:r>
        <w:rPr>
          <w:rFonts w:ascii="宋体"/>
          <w:sz w:val="36"/>
          <w:szCs w:val="36"/>
        </w:rPr>
        <w:t>九、</w:t>
      </w:r>
      <w:r>
        <w:rPr>
          <w:rFonts w:ascii="宋体" w:hint="eastAsia"/>
          <w:sz w:val="36"/>
          <w:szCs w:val="36"/>
        </w:rPr>
        <w:t>财政拨款预算“三公”经费支出表</w:t>
      </w:r>
    </w:p>
    <w:p>
      <w:pPr>
        <w:ind w:left="2164" w:hangingChars="492" w:hanging="2164"/>
        <w:rPr>
          <w:b/>
          <w:sz w:val="44"/>
          <w:szCs w:val="44"/>
        </w:rPr>
      </w:pPr>
      <w:r>
        <w:rPr>
          <w:rFonts w:ascii="宋体" w:hint="eastAsia"/>
          <w:b/>
          <w:sz w:val="44"/>
          <w:szCs w:val="44"/>
        </w:rPr>
        <w:t>第三部分</w:t>
      </w:r>
      <w:r>
        <w:rPr>
          <w:rFonts w:hint="eastAsia"/>
          <w:b/>
          <w:sz w:val="44"/>
          <w:szCs w:val="44"/>
        </w:rPr>
        <w:t xml:space="preserve">  武夷山</w:t>
      </w:r>
      <w:r>
        <w:rPr>
          <w:rFonts w:ascii="宋体" w:hint="eastAsia"/>
          <w:b/>
          <w:sz w:val="44"/>
          <w:szCs w:val="44"/>
        </w:rPr>
        <w:t>海关</w:t>
      </w:r>
      <w:r>
        <w:rPr>
          <w:b/>
          <w:sz w:val="44"/>
          <w:szCs w:val="44"/>
        </w:rPr>
        <w:t>2026</w:t>
      </w:r>
      <w:r>
        <w:rPr>
          <w:rFonts w:ascii="宋体" w:hint="eastAsia"/>
          <w:b/>
          <w:sz w:val="44"/>
          <w:szCs w:val="44"/>
        </w:rPr>
        <w:t>年部门预算情况说明</w:t>
      </w:r>
    </w:p>
    <w:p>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pPr>
        <w:rPr>
          <w:rFonts w:ascii="宋体"/>
          <w:b/>
          <w:sz w:val="44"/>
          <w:szCs w:val="44"/>
        </w:r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p>
    <w:p/>
    <w:p>
      <w:pPr>
        <w:tabs>
          <w:tab w:val="left" w:pos="6241"/>
        </w:tabs>
        <w:jc w:val="left"/>
        <w:sectPr>
          <w:footerReference w:type="default" r:id="rId3"/>
          <w:pgSz w:w="11906" w:h="16838"/>
          <w:pgMar w:top="1440" w:right="1800" w:bottom="1440" w:left="1800" w:header="851" w:footer="992" w:gutter="0"/>
          <w:pgNumType w:start="1"/>
          <w:docGrid w:type="lines" w:linePitch="312" w:charSpace="0"/>
        </w:sectPr>
      </w:pPr>
      <w:r>
        <w:rPr>
          <w:rFonts w:hint="eastAsia"/>
        </w:rPr>
        <w:tab/>
      </w: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r>
        <w:rPr>
          <w:rFonts w:ascii="Times New Roman" w:hAnsi="Times New Roman" w:hint="eastAsia"/>
          <w:b/>
          <w:sz w:val="84"/>
          <w:szCs w:val="84"/>
        </w:rPr>
        <w:t>第一部分</w:t>
      </w:r>
    </w:p>
    <w:p>
      <w:pPr>
        <w:jc w:val="center"/>
        <w:rPr>
          <w:rFonts w:ascii="Times New Roman" w:hAnsi="Times New Roman"/>
          <w:b/>
          <w:sz w:val="84"/>
          <w:szCs w:val="84"/>
        </w:rPr>
      </w:pPr>
      <w:r>
        <w:rPr>
          <w:rFonts w:ascii="Times New Roman" w:hAnsi="Times New Roman" w:hint="eastAsia"/>
          <w:b/>
          <w:sz w:val="84"/>
          <w:szCs w:val="84"/>
        </w:rPr>
        <w:t>武夷山海关部门概况</w:t>
      </w:r>
    </w:p>
    <w:p>
      <w:pPr>
        <w:keepNext w:val="0"/>
        <w:widowControl w:val="0"/>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sz w:val="32"/>
          <w:szCs w:val="32"/>
        </w:rPr>
        <w:br w:type="page"/>
      </w:r>
    </w:p>
    <w:p>
      <w:pPr>
        <w:keepNext w:val="0"/>
        <w:widowControl w:val="0"/>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一、主要职能</w:t>
      </w:r>
    </w:p>
    <w:p>
      <w:pPr>
        <w:spacing w:line="560" w:lineRule="exact"/>
        <w:ind w:firstLineChars="200" w:firstLine="640"/>
        <w:rPr>
          <w:rFonts w:ascii="Times New Roman" w:eastAsia="方正仿宋_GBK" w:hAnsi="Times New Roman"/>
          <w:sz w:val="32"/>
          <w:szCs w:val="32"/>
        </w:rPr>
      </w:pPr>
      <w:r>
        <w:rPr>
          <w:rFonts w:eastAsia="方正仿宋_GBK" w:hint="eastAsia"/>
          <w:sz w:val="32"/>
          <w:szCs w:val="32"/>
        </w:rPr>
        <w:t>武夷山海关是受福州海关直接领导，按授权负责武夷山市行政辖区海关各类管理工作的执行机构。负责党的基层组织建设和干部队伍建设；办理具体海关业务，反馈执法作业结果；承办上级交办的其他工作事项。</w:t>
      </w: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、单位构成情况</w:t>
      </w:r>
    </w:p>
    <w:p>
      <w:pPr>
        <w:autoSpaceDN w:val="0"/>
        <w:spacing w:line="360" w:lineRule="auto"/>
        <w:ind w:firstLineChars="200" w:firstLine="640"/>
        <w:rPr>
          <w:rFonts w:eastAsia="方正仿宋_GBK"/>
          <w:sz w:val="32"/>
          <w:szCs w:val="32"/>
        </w:rPr>
      </w:pPr>
      <w:r>
        <w:rPr>
          <w:rFonts w:eastAsia="方正仿宋_GBK" w:hint="eastAsia"/>
          <w:sz w:val="32"/>
          <w:szCs w:val="32"/>
        </w:rPr>
        <w:t>武夷山海关内设机构：</w:t>
      </w:r>
      <w:r>
        <w:rPr>
          <w:rFonts w:eastAsia="方正仿宋_GBK"/>
          <w:sz w:val="32"/>
          <w:szCs w:val="32"/>
        </w:rPr>
        <w:t xml:space="preserve"> </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（一）办公室</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（二）综合业务科</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（三）旅检一科</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（四）旅检二科</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（五）监管科</w:t>
      </w:r>
    </w:p>
    <w:p>
      <w:pPr>
        <w:autoSpaceDN w:val="0"/>
        <w:spacing w:line="360" w:lineRule="auto"/>
        <w:ind w:firstLineChars="200" w:firstLine="640"/>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（六）查验科</w:t>
      </w:r>
    </w:p>
    <w:p>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纳入</w:t>
      </w:r>
      <w:r>
        <w:rPr>
          <w:rFonts w:eastAsia="方正仿宋_GBK" w:hint="eastAsia"/>
          <w:sz w:val="32"/>
          <w:szCs w:val="32"/>
        </w:rPr>
        <w:t>武夷山海关</w:t>
      </w:r>
      <w:r>
        <w:rPr>
          <w:rFonts w:ascii="Times New Roman" w:eastAsia="方正仿宋_GBK" w:hAnsi="Times New Roman" w:hint="eastAsia"/>
          <w:sz w:val="32"/>
          <w:szCs w:val="32"/>
        </w:rPr>
        <w:t>2026年部门预算编制范围的单位如下：</w:t>
      </w:r>
    </w:p>
    <w:tbl>
      <w:tblPr>
        <w:jc w:val="center"/>
        <w:tblW w:w="871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4"/>
        <w:gridCol w:w="3281"/>
        <w:gridCol w:w="630"/>
        <w:gridCol w:w="4095"/>
      </w:tblGrid>
      <w:tr>
        <w:trPr>
          <w:trHeight w:val="624"/>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hint="eastAsia"/>
                <w:kern w:val="0"/>
                <w:sz w:val="18"/>
                <w:szCs w:val="18"/>
              </w:rPr>
            </w:pPr>
            <w:r>
              <w:rPr>
                <w:rFonts w:ascii="宋体" w:cs="宋体" w:hint="eastAsia"/>
                <w:kern w:val="0"/>
                <w:sz w:val="18"/>
                <w:szCs w:val="18"/>
              </w:rPr>
              <w:t>序号</w:t>
            </w:r>
          </w:p>
        </w:tc>
        <w:tc>
          <w:tcPr>
            <w:tcW w:w="3281"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cs="宋体" w:hint="eastAsia"/>
                <w:kern w:val="0"/>
                <w:sz w:val="18"/>
                <w:szCs w:val="18"/>
              </w:rPr>
            </w:pPr>
            <w:r>
              <w:rPr>
                <w:rFonts w:ascii="宋体" w:cs="宋体" w:hint="eastAsia"/>
                <w:kern w:val="0"/>
                <w:sz w:val="18"/>
                <w:szCs w:val="18"/>
              </w:rPr>
              <w:t>单位</w:t>
            </w:r>
          </w:p>
        </w:tc>
        <w:tc>
          <w:tcPr>
            <w:tcW w:w="630"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cs="宋体" w:hint="eastAsia"/>
                <w:kern w:val="0"/>
                <w:sz w:val="18"/>
                <w:szCs w:val="18"/>
              </w:rPr>
            </w:pPr>
            <w:r>
              <w:rPr>
                <w:rFonts w:ascii="宋体" w:cs="宋体" w:hint="eastAsia"/>
                <w:kern w:val="0"/>
                <w:sz w:val="18"/>
                <w:szCs w:val="18"/>
              </w:rPr>
              <w:t>序号</w:t>
            </w:r>
          </w:p>
        </w:tc>
        <w:tc>
          <w:tcPr>
            <w:tcW w:w="4095"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cs="宋体" w:hint="eastAsia"/>
                <w:kern w:val="0"/>
                <w:sz w:val="18"/>
                <w:szCs w:val="18"/>
              </w:rPr>
            </w:pPr>
            <w:r>
              <w:rPr>
                <w:rFonts w:ascii="宋体" w:cs="宋体" w:hint="eastAsia"/>
                <w:kern w:val="0"/>
                <w:sz w:val="18"/>
                <w:szCs w:val="18"/>
              </w:rPr>
              <w:t>单位</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jc w:val="center"/>
              <w:rPr>
                <w:rFonts w:ascii="Times New Roman" w:cs="Times New Roman" w:hAnsi="Times New Roman" w:hint="eastAsia"/>
                <w:color w:val="000000"/>
                <w:sz w:val="20"/>
                <w:szCs w:val="20"/>
                <w:shd w:val="clear" w:color="auto" w:fill="auto"/>
              </w:rPr>
            </w:pPr>
            <w:r>
              <w:rPr>
                <w:rFonts w:ascii="Times New Roman" w:cs="Times New Roman" w:hAnsi="Times New Roman" w:hint="eastAsia"/>
                <w:color w:val="000000"/>
                <w:sz w:val="20"/>
                <w:szCs w:val="20"/>
                <w:shd w:val="clear" w:color="auto" w:fill="auto"/>
              </w:rPr>
              <w:t>1</w:t>
            </w:r>
          </w:p>
        </w:tc>
        <w:tc>
          <w:tcPr>
            <w:tcW w:w="3281" w:type="dxa"/>
            <w:tcBorders>
              <w:top w:val="nil"/>
              <w:left w:val="nil"/>
              <w:bottom w:val="single" w:sz="4" w:space="0" w:color="auto"/>
              <w:right w:val="single" w:sz="4" w:space="0" w:color="auto"/>
            </w:tcBorders>
            <w:shd w:val="clear" w:color="auto" w:fill="auto"/>
            <w:noWrap/>
            <w:vAlign w:val="center"/>
          </w:tcPr>
          <w:p>
            <w:pPr>
              <w:jc w:val="center"/>
              <w:rPr>
                <w:rFonts w:ascii="Times New Roman" w:cs="宋体" w:hAnsi="Times New Roman" w:hint="eastAsia"/>
                <w:color w:val="000000"/>
                <w:sz w:val="20"/>
                <w:szCs w:val="20"/>
                <w:shd w:val="clear" w:color="auto" w:fill="auto"/>
              </w:rPr>
            </w:pPr>
            <w:r>
              <w:rPr>
                <w:rFonts w:ascii="Times New Roman" w:cs="宋体" w:hAnsi="Times New Roman" w:hint="eastAsia"/>
                <w:color w:val="000000"/>
                <w:sz w:val="20"/>
                <w:szCs w:val="20"/>
                <w:shd w:val="clear" w:color="auto" w:fill="auto"/>
              </w:rPr>
              <w:t>中华人民共和国武夷山海关</w:t>
            </w:r>
          </w:p>
        </w:tc>
        <w:tc>
          <w:tcPr>
            <w:tcW w:w="63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p>
        </w:tc>
        <w:tc>
          <w:tcPr>
            <w:tcW w:w="409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p>
        </w:tc>
      </w:tr>
    </w:tbl>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pPr>
      <w:r>
        <w:rPr>
          <w:rFonts w:ascii="Times New Roman" w:eastAsia="方正仿宋_GBK" w:hAnsi="Times New Roman"/>
          <w:sz w:val="84"/>
          <w:szCs w:val="84"/>
        </w:rPr>
        <w:br w:type="page"/>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pPr>
        <w:jc w:val="center"/>
        <w:rPr>
          <w:rFonts w:ascii="Times New Roman" w:hAnsi="Times New Roman"/>
          <w:b/>
          <w:sz w:val="72"/>
          <w:szCs w:val="72"/>
        </w:rPr>
      </w:pPr>
      <w:r>
        <w:rPr>
          <w:rFonts w:ascii="Times New Roman" w:hAnsi="Times New Roman" w:hint="eastAsia"/>
          <w:b/>
          <w:sz w:val="72"/>
          <w:szCs w:val="72"/>
        </w:rPr>
        <w:t>武夷山海关</w:t>
      </w:r>
      <w:r>
        <w:rPr>
          <w:rFonts w:ascii="Times New Roman" w:hAnsi="Times New Roman"/>
          <w:b/>
          <w:sz w:val="72"/>
          <w:szCs w:val="72"/>
        </w:rPr>
        <w:t>2026</w:t>
      </w:r>
      <w:r>
        <w:rPr>
          <w:rFonts w:ascii="Times New Roman" w:hAnsi="Times New Roman" w:hint="eastAsia"/>
          <w:b/>
          <w:sz w:val="72"/>
          <w:szCs w:val="72"/>
        </w:rPr>
        <w:t>年</w:t>
      </w:r>
    </w:p>
    <w:p>
      <w:pPr>
        <w:jc w:val="center"/>
        <w:rPr>
          <w:rFonts w:ascii="Times New Roman" w:hAnsi="Times New Roman"/>
          <w:szCs w:val="21"/>
        </w:rPr>
      </w:pPr>
      <w:r>
        <w:rPr>
          <w:rFonts w:ascii="Times New Roman" w:hAnsi="Times New Roman" w:hint="eastAsia"/>
          <w:b/>
          <w:sz w:val="72"/>
          <w:szCs w:val="72"/>
        </w:rPr>
        <w:t>部门预算表</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sectPr>
          <w:pgSz w:w="11907" w:h="16840"/>
          <w:pgMar w:top="1440" w:right="1797" w:bottom="1440" w:left="1797" w:header="851" w:footer="992" w:gutter="0"/>
          <w:pgNumType/>
          <w:docGrid w:type="lines" w:linePitch="312" w:charSpace="0"/>
        </w:sectPr>
      </w:pPr>
    </w:p>
    <w:tbl>
      <w:tblPr>
        <w:jc w:val="center"/>
        <w:tblW w:w="1417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541"/>
        <w:gridCol w:w="145"/>
        <w:gridCol w:w="3260"/>
        <w:gridCol w:w="141"/>
        <w:gridCol w:w="3541"/>
        <w:gridCol w:w="145"/>
        <w:gridCol w:w="3119"/>
        <w:gridCol w:w="282"/>
      </w:tblGrid>
      <w:tr>
        <w:trPr>
          <w:trHeight w:val="319"/>
          <w:gridAfter w:val="1"/>
          <w:wAfter w:w="282" w:type="dxa"/>
        </w:trPr>
        <w:tc>
          <w:tcPr>
            <w:tcW w:w="10773" w:type="dxa"/>
            <w:gridSpan w:val="6"/>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部门公开表1</w:t>
            </w:r>
          </w:p>
        </w:tc>
      </w:tr>
      <w:tr>
        <w:trPr>
          <w:trHeight w:val="540"/>
          <w:gridAfter w:val="1"/>
          <w:wAfter w:w="282" w:type="dxa"/>
        </w:trPr>
        <w:tc>
          <w:tcPr>
            <w:tcW w:w="13892" w:type="dxa"/>
            <w:gridSpan w:val="7"/>
            <w:tcBorders>
              <w:top w:val="nil"/>
              <w:left w:val="nil"/>
              <w:bottom w:val="nil"/>
              <w:right w:val="nil"/>
            </w:tcBorders>
            <w:shd w:val="clear" w:color="auto" w:fill="auto"/>
            <w:noWrap/>
            <w:vAlign w:val="center"/>
          </w:tcPr>
          <w:p>
            <w:pPr>
              <w:widowControl/>
              <w:jc w:val="center"/>
              <w:rPr>
                <w:rFonts w:ascii="Times New Roman" w:cs="宋体" w:hAnsi="Times New Roman"/>
                <w:b/>
                <w:bCs/>
                <w:color w:val="000000"/>
                <w:kern w:val="0"/>
                <w:sz w:val="36"/>
                <w:szCs w:val="36"/>
              </w:rPr>
            </w:pPr>
            <w:r>
              <w:rPr>
                <w:rFonts w:ascii="Times New Roman" w:cs="宋体" w:hAnsi="Times New Roman" w:hint="eastAsia"/>
                <w:b/>
                <w:bCs/>
                <w:color w:val="000000"/>
                <w:kern w:val="0"/>
                <w:sz w:val="36"/>
                <w:szCs w:val="36"/>
              </w:rPr>
              <w:t>部门收支总表</w:t>
            </w:r>
          </w:p>
        </w:tc>
      </w:tr>
      <w:tr>
        <w:trPr>
          <w:trHeight w:val="360"/>
          <w:gridAfter w:val="1"/>
          <w:wAfter w:w="282" w:type="dxa"/>
        </w:trPr>
        <w:tc>
          <w:tcPr>
            <w:tcW w:w="3686" w:type="dxa"/>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827" w:type="dxa"/>
            <w:gridSpan w:val="3"/>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119"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val="374"/>
        </w:trPr>
        <w:tc>
          <w:tcPr>
            <w:tcW w:w="7087" w:type="dxa"/>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收      入</w:t>
            </w:r>
          </w:p>
        </w:tc>
        <w:tc>
          <w:tcPr>
            <w:tcW w:w="7087" w:type="dxa"/>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支      出</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项目</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预算数</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项目</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预算数</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一、一般公共预算拨款收入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一、一般公共服务支出</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760.26</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二、政府性基金预算拨款收入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二、社会保障和就业支出</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66.71</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三、国有资本经营预算拨款收入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三、卫生健康支出</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19.90</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四、事业收入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四、住房保障支出</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82.37</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五、事业单位经营收入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六、其他收入</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135.00</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本年收入合计</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847.69</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本年支出合计</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929.24</w:t>
            </w: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使用非财政拨款结余</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结转下年（非财政拨款）</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上年结转</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81.55</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收    入    总    计</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929.24</w:t>
            </w:r>
          </w:p>
        </w:tc>
        <w:tc>
          <w:tcPr>
            <w:tcW w:w="3541"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支    出    总    计</w:t>
            </w:r>
          </w:p>
        </w:tc>
        <w:tc>
          <w:tcPr>
            <w:tcW w:w="3546"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929.24</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center"/>
        <w:tblW w:w="1446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33"/>
        <w:gridCol w:w="1259"/>
        <w:gridCol w:w="1575"/>
        <w:gridCol w:w="1784"/>
        <w:gridCol w:w="1259"/>
        <w:gridCol w:w="738"/>
        <w:gridCol w:w="1260"/>
        <w:gridCol w:w="945"/>
        <w:gridCol w:w="1046"/>
        <w:gridCol w:w="1262"/>
        <w:gridCol w:w="1261"/>
        <w:gridCol w:w="1041"/>
      </w:tblGrid>
      <w:tr>
        <w:trPr>
          <w:trHeight w:val="270"/>
        </w:trPr>
        <w:tc>
          <w:tcPr>
            <w:tcW w:w="1033"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25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575"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78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5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738"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6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945"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4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6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302" w:type="dxa"/>
            <w:gridSpan w:val="2"/>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部门公开表2</w:t>
            </w:r>
          </w:p>
        </w:tc>
      </w:tr>
      <w:tr>
        <w:trPr>
          <w:trHeight w:val="405"/>
        </w:trPr>
        <w:tc>
          <w:tcPr>
            <w:tcW w:w="14461"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b/>
                <w:bCs/>
                <w:kern w:val="0"/>
                <w:sz w:val="36"/>
                <w:szCs w:val="36"/>
              </w:rPr>
            </w:pPr>
            <w:r>
              <w:rPr>
                <w:rFonts w:ascii="Times New Roman" w:cs="宋体" w:hAnsi="Times New Roman" w:hint="eastAsia"/>
                <w:b/>
                <w:bCs/>
                <w:kern w:val="0"/>
                <w:sz w:val="36"/>
                <w:szCs w:val="36"/>
              </w:rPr>
              <w:t>部门收入总表</w:t>
            </w:r>
          </w:p>
        </w:tc>
      </w:tr>
      <w:tr>
        <w:trPr>
          <w:trHeight w:val="270"/>
        </w:trPr>
        <w:tc>
          <w:tcPr>
            <w:tcW w:w="103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5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575"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78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5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738"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6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945"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4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6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61"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41"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565"/>
        </w:trPr>
        <w:tc>
          <w:tcPr>
            <w:tcW w:w="1033"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合计</w:t>
            </w:r>
          </w:p>
        </w:tc>
        <w:tc>
          <w:tcPr>
            <w:tcW w:w="1259" w:type="dxa"/>
            <w:vMerge w:val="restart"/>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上年结转</w:t>
            </w:r>
          </w:p>
        </w:tc>
        <w:tc>
          <w:tcPr>
            <w:tcW w:w="1575"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一般公共预算拨款收入</w:t>
            </w:r>
          </w:p>
        </w:tc>
        <w:tc>
          <w:tcPr>
            <w:tcW w:w="1784"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政府性基金预算拨款收入</w:t>
            </w:r>
          </w:p>
        </w:tc>
        <w:tc>
          <w:tcPr>
            <w:tcW w:w="125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国有资本经营预算拨款收入</w:t>
            </w:r>
          </w:p>
        </w:tc>
        <w:tc>
          <w:tcPr>
            <w:tcW w:w="199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pStyle w:val="116"/>
              <w:widowControl/>
              <w:jc w:val="center"/>
              <w:rPr>
                <w:rFonts w:ascii="Times New Roman" w:cs="宋体" w:hAnsi="Times New Roman"/>
                <w:kern w:val="0"/>
                <w:sz w:val="24"/>
                <w:szCs w:val="24"/>
              </w:rPr>
            </w:pPr>
            <w:r>
              <w:rPr>
                <w:rFonts w:ascii="Times New Roman" w:cs="宋体" w:hAnsi="Times New Roman" w:hint="eastAsia"/>
                <w:kern w:val="0"/>
                <w:sz w:val="24"/>
                <w:szCs w:val="24"/>
              </w:rPr>
              <w:t>事业收入</w:t>
            </w:r>
          </w:p>
        </w:tc>
        <w:tc>
          <w:tcPr>
            <w:tcW w:w="945" w:type="dxa"/>
            <w:vMerge w:val="restart"/>
            <w:tcBorders>
              <w:top w:val="single" w:sz="4" w:space="0" w:color="auto"/>
              <w:left w:val="single" w:sz="4" w:space="0" w:color="auto"/>
              <w:bottom w:val="nil"/>
              <w:right w:val="nil"/>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事业单位经营收入</w:t>
            </w:r>
          </w:p>
        </w:tc>
        <w:tc>
          <w:tcPr>
            <w:tcW w:w="104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上级补助收入</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附属单位上缴收入</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其他收入</w:t>
            </w:r>
          </w:p>
        </w:tc>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pStyle w:val="72"/>
              <w:widowControl/>
              <w:jc w:val="center"/>
              <w:rPr>
                <w:rFonts w:ascii="Times New Roman" w:cs="宋体" w:hAnsi="Times New Roman"/>
                <w:kern w:val="0"/>
                <w:sz w:val="24"/>
                <w:szCs w:val="24"/>
              </w:rPr>
            </w:pPr>
            <w:r>
              <w:rPr>
                <w:rFonts w:ascii="Times New Roman" w:cs="宋体" w:hAnsi="Times New Roman" w:hint="eastAsia"/>
                <w:kern w:val="0"/>
                <w:sz w:val="24"/>
                <w:szCs w:val="24"/>
              </w:rPr>
              <w:t>使用非财政拨款结余</w:t>
            </w:r>
          </w:p>
        </w:tc>
      </w:tr>
      <w:tr>
        <w:trPr>
          <w:trHeight w:val="711"/>
        </w:trPr>
        <w:tc>
          <w:tcPr>
            <w:tcW w:w="1216" w:type="dxa"/>
            <w:vMerge/>
            <w:tcBorders>
              <w:top w:val="nil"/>
              <w:left w:val="single" w:sz="4" w:space="0" w:color="auto"/>
              <w:bottom w:val="single" w:sz="4" w:space="0" w:color="auto"/>
              <w:right w:val="single" w:sz="4" w:space="0" w:color="auto"/>
            </w:tcBorders>
            <w:vAlign w:val="center"/>
          </w:tcPr>
          <w:p/>
        </w:tc>
        <w:tc>
          <w:tcPr>
            <w:tcW w:w="1360" w:type="dxa"/>
            <w:vMerge/>
            <w:tcBorders>
              <w:top w:val="nil"/>
              <w:left w:val="single" w:sz="4" w:space="0" w:color="auto"/>
              <w:bottom w:val="nil"/>
              <w:right w:val="single" w:sz="4" w:space="0" w:color="auto"/>
            </w:tcBorders>
            <w:vAlign w:val="center"/>
          </w:tcPr>
          <w:p/>
        </w:tc>
        <w:tc>
          <w:tcPr>
            <w:tcW w:w="122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738" w:type="dxa"/>
            <w:tcBorders>
              <w:top w:val="single" w:sz="4" w:space="0" w:color="auto"/>
              <w:left w:val="nil"/>
              <w:bottom w:val="single" w:sz="4" w:space="0" w:color="auto"/>
              <w:right w:val="single" w:sz="4" w:space="0" w:color="auto"/>
            </w:tcBorders>
            <w:shd w:val="clear" w:color="auto" w:fill="auto"/>
            <w:vAlign w:val="center"/>
          </w:tcPr>
          <w:p>
            <w:pPr>
              <w:pStyle w:val="117"/>
              <w:widowControl/>
              <w:jc w:val="center"/>
              <w:rPr>
                <w:rFonts w:ascii="Times New Roman" w:cs="宋体" w:hAnsi="Times New Roman"/>
                <w:kern w:val="0"/>
                <w:sz w:val="24"/>
                <w:szCs w:val="24"/>
              </w:rPr>
            </w:pPr>
            <w:r>
              <w:rPr>
                <w:rFonts w:ascii="Times New Roman" w:cs="宋体" w:hAnsi="Times New Roman" w:hint="eastAsia"/>
                <w:kern w:val="0"/>
                <w:sz w:val="24"/>
                <w:szCs w:val="24"/>
              </w:rPr>
              <w:t>金额</w:t>
            </w:r>
          </w:p>
        </w:tc>
        <w:tc>
          <w:tcPr>
            <w:tcW w:w="1260" w:type="dxa"/>
            <w:tcBorders>
              <w:top w:val="single" w:sz="4" w:space="0" w:color="auto"/>
              <w:left w:val="nil"/>
              <w:bottom w:val="single" w:sz="4" w:space="0" w:color="auto"/>
              <w:right w:val="single" w:sz="4" w:space="0" w:color="auto"/>
            </w:tcBorders>
            <w:shd w:val="clear" w:color="auto" w:fill="auto"/>
            <w:vAlign w:val="center"/>
          </w:tcPr>
          <w:p>
            <w:pPr>
              <w:pStyle w:val="118"/>
              <w:widowControl/>
              <w:jc w:val="center"/>
              <w:rPr>
                <w:rFonts w:ascii="Times New Roman" w:cs="宋体" w:hAnsi="Times New Roman"/>
                <w:kern w:val="0"/>
                <w:sz w:val="24"/>
                <w:szCs w:val="24"/>
              </w:rPr>
            </w:pPr>
            <w:r>
              <w:rPr>
                <w:rFonts w:ascii="Times New Roman" w:cs="宋体" w:hAnsi="Times New Roman" w:hint="eastAsia"/>
                <w:kern w:val="0"/>
                <w:sz w:val="24"/>
                <w:szCs w:val="24"/>
              </w:rPr>
              <w:t>其中：</w:t>
            </w:r>
            <w:r>
              <w:rPr>
                <w:rFonts w:ascii="Times New Roman" w:cs="宋体" w:hAnsi="Times New Roman"/>
                <w:kern w:val="0"/>
                <w:sz w:val="24"/>
                <w:szCs w:val="24"/>
              </w:rPr>
              <w:t>财政专户管理资金</w:t>
            </w:r>
          </w:p>
        </w:tc>
        <w:tc>
          <w:tcPr>
            <w:tcW w:w="1139" w:type="dxa"/>
            <w:vMerge/>
            <w:tcBorders>
              <w:top w:val="single" w:sz="4" w:space="0" w:color="auto"/>
              <w:left w:val="single" w:sz="4" w:space="0" w:color="auto"/>
              <w:bottom w:val="nil"/>
              <w:right w:val="nil"/>
            </w:tcBorders>
            <w:vAlign w:val="center"/>
          </w:tcPr>
          <w:p/>
        </w:tc>
        <w:tc>
          <w:tcPr>
            <w:tcW w:w="1134" w:type="dxa"/>
            <w:vMerge/>
            <w:tcBorders>
              <w:top w:val="single" w:sz="4" w:space="0" w:color="auto"/>
              <w:left w:val="single" w:sz="4" w:space="0" w:color="auto"/>
              <w:bottom w:val="single" w:sz="4" w:space="0" w:color="000000"/>
              <w:right w:val="single" w:sz="4" w:space="0" w:color="auto"/>
            </w:tcBorders>
            <w:vAlign w:val="center"/>
          </w:tcPr>
          <w:p/>
        </w:tc>
        <w:tc>
          <w:tcPr>
            <w:tcW w:w="1087" w:type="dxa"/>
            <w:vMerge/>
            <w:tcBorders>
              <w:top w:val="single" w:sz="4" w:space="0" w:color="auto"/>
              <w:left w:val="single" w:sz="4" w:space="0" w:color="auto"/>
              <w:bottom w:val="single" w:sz="4" w:space="0" w:color="auto"/>
              <w:right w:val="single" w:sz="4" w:space="0" w:color="auto"/>
            </w:tcBorders>
            <w:vAlign w:val="center"/>
          </w:tcPr>
          <w:p/>
        </w:tc>
        <w:tc>
          <w:tcPr>
            <w:tcW w:w="1166" w:type="dxa"/>
            <w:vMerge/>
            <w:tcBorders>
              <w:top w:val="single" w:sz="4" w:space="0" w:color="auto"/>
              <w:left w:val="single" w:sz="4" w:space="0" w:color="auto"/>
              <w:bottom w:val="single" w:sz="4" w:space="0" w:color="auto"/>
              <w:right w:val="single" w:sz="4" w:space="0" w:color="auto"/>
            </w:tcBorders>
            <w:vAlign w:val="center"/>
          </w:tcPr>
          <w:p/>
        </w:tc>
        <w:tc>
          <w:tcPr>
            <w:tcW w:w="2156" w:type="dxa"/>
            <w:vMerge/>
            <w:tcBorders>
              <w:top w:val="single" w:sz="4" w:space="0" w:color="auto"/>
              <w:left w:val="single" w:sz="4" w:space="0" w:color="auto"/>
              <w:bottom w:val="single" w:sz="4" w:space="0" w:color="auto"/>
              <w:right w:val="single" w:sz="4" w:space="0" w:color="auto"/>
            </w:tcBorders>
            <w:shd w:val="clear" w:color="auto" w:fill="auto"/>
            <w:vAlign w:val="center"/>
          </w:tcPr>
          <w:p/>
        </w:tc>
      </w:tr>
      <w:tr>
        <w:trPr>
          <w:trHeight w:val="535"/>
        </w:trPr>
        <w:tc>
          <w:tcPr>
            <w:tcW w:w="1033" w:type="dxa"/>
            <w:tcBorders>
              <w:top w:val="nil"/>
              <w:left w:val="single" w:sz="4" w:space="0" w:color="auto"/>
              <w:bottom w:val="single" w:sz="4" w:space="0" w:color="auto"/>
              <w:right w:val="single" w:sz="4" w:space="0" w:color="auto"/>
            </w:tcBorders>
            <w:shd w:val="clear" w:color="auto" w:fill="auto"/>
            <w:vAlign w:val="center"/>
          </w:tcPr>
          <w:p>
            <w:pPr>
              <w:jc w:val="right"/>
              <w:rPr>
                <w:rFonts w:ascii="Times New Roman" w:cs="Times New Roman" w:hAnsi="Times New Roman"/>
                <w:color w:val="000000"/>
                <w:sz w:val="24"/>
                <w:szCs w:val="24"/>
              </w:rPr>
            </w:pPr>
            <w:r>
              <w:rPr>
                <w:rFonts w:ascii="Times New Roman" w:cs="Times New Roman" w:hAnsi="Times New Roman"/>
                <w:color w:val="000000"/>
                <w:sz w:val="24"/>
                <w:szCs w:val="24"/>
              </w:rPr>
              <w:t>929.24</w:t>
            </w:r>
          </w:p>
        </w:tc>
        <w:tc>
          <w:tcPr>
            <w:tcW w:w="1259" w:type="dxa"/>
            <w:tcBorders>
              <w:top w:val="single" w:sz="4" w:space="0" w:color="auto"/>
              <w:left w:val="nil"/>
              <w:bottom w:val="single" w:sz="4" w:space="0" w:color="auto"/>
              <w:right w:val="single" w:sz="4" w:space="0" w:color="auto"/>
            </w:tcBorders>
            <w:shd w:val="clear" w:color="auto" w:fill="auto"/>
            <w:vAlign w:val="center"/>
          </w:tcPr>
          <w:p>
            <w:pPr>
              <w:jc w:val="right"/>
              <w:rPr>
                <w:rFonts w:ascii="Times New Roman" w:cs="Times New Roman" w:hAnsi="Times New Roman"/>
                <w:color w:val="000000"/>
                <w:sz w:val="24"/>
                <w:szCs w:val="24"/>
              </w:rPr>
            </w:pPr>
            <w:r>
              <w:rPr>
                <w:rFonts w:ascii="Times New Roman" w:cs="Times New Roman" w:hAnsi="Times New Roman"/>
                <w:color w:val="000000"/>
                <w:sz w:val="24"/>
                <w:szCs w:val="24"/>
              </w:rPr>
              <w:t>81.55</w:t>
            </w:r>
          </w:p>
        </w:tc>
        <w:tc>
          <w:tcPr>
            <w:tcW w:w="1575"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712.69</w:t>
            </w:r>
          </w:p>
        </w:tc>
        <w:tc>
          <w:tcPr>
            <w:tcW w:w="1784"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1259"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738"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1260" w:type="dxa"/>
            <w:tcBorders>
              <w:top w:val="single" w:sz="4" w:space="0" w:color="auto"/>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945" w:type="dxa"/>
            <w:tcBorders>
              <w:top w:val="single" w:sz="4" w:space="0" w:color="auto"/>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1046" w:type="dxa"/>
            <w:tcBorders>
              <w:top w:val="single" w:sz="4" w:space="0" w:color="auto"/>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1262"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c>
          <w:tcPr>
            <w:tcW w:w="1261"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135.00</w:t>
            </w:r>
          </w:p>
        </w:tc>
        <w:tc>
          <w:tcPr>
            <w:tcW w:w="1041" w:type="dxa"/>
            <w:tcBorders>
              <w:top w:val="nil"/>
              <w:left w:val="nil"/>
              <w:bottom w:val="single" w:sz="4" w:space="0" w:color="auto"/>
              <w:right w:val="single" w:sz="4" w:space="0" w:color="auto"/>
            </w:tcBorders>
            <w:shd w:val="clear" w:color="auto" w:fill="auto"/>
            <w:vAlign w:val="center"/>
          </w:tcPr>
          <w:p>
            <w:pPr>
              <w:jc w:val="right"/>
              <w:rPr>
                <w:rFonts w:ascii="Times New Roman" w:cs="Times New Roman" w:hAnsi="Times New Roman"/>
                <w:sz w:val="24"/>
                <w:szCs w:val="24"/>
              </w:rPr>
            </w:pPr>
            <w:r>
              <w:rPr>
                <w:rFonts w:ascii="Times New Roman" w:cs="Times New Roman" w:hAnsi="Times New Roman"/>
                <w:sz w:val="24"/>
                <w:szCs w:val="24"/>
              </w:rPr>
              <w:t>　</w:t>
            </w:r>
          </w:p>
        </w:tc>
      </w:tr>
    </w:tbl>
    <w:p>
      <w:pPr>
        <w:jc w:val="left"/>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tbl>
      <w:tblPr>
        <w:jc w:val="center"/>
        <w:tblW w:w="5000"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07"/>
        <w:gridCol w:w="399"/>
        <w:gridCol w:w="2411"/>
        <w:gridCol w:w="649"/>
        <w:gridCol w:w="1357"/>
        <w:gridCol w:w="61"/>
        <w:gridCol w:w="1418"/>
        <w:gridCol w:w="336"/>
        <w:gridCol w:w="1082"/>
        <w:gridCol w:w="486"/>
        <w:gridCol w:w="933"/>
        <w:gridCol w:w="1818"/>
        <w:gridCol w:w="1620"/>
        <w:gridCol w:w="398"/>
      </w:tblGrid>
      <w:tr>
        <w:trPr>
          <w:trHeight w:val="319"/>
          <w:gridAfter w:val="1"/>
          <w:wAfter w:w="398" w:type="dxa"/>
        </w:trPr>
        <w:tc>
          <w:tcPr>
            <w:tcW w:w="4859" w:type="pct"/>
            <w:gridSpan w:val="13"/>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 xml:space="preserve"> 部门公开表3 </w:t>
            </w:r>
          </w:p>
        </w:tc>
      </w:tr>
      <w:tr>
        <w:trPr>
          <w:trHeight w:val="540"/>
          <w:gridAfter w:val="1"/>
          <w:wAfter w:w="398" w:type="dxa"/>
        </w:trPr>
        <w:tc>
          <w:tcPr>
            <w:tcW w:w="4859" w:type="pct"/>
            <w:gridSpan w:val="13"/>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 xml:space="preserve"> </w:t>
            </w:r>
            <w:r>
              <w:rPr>
                <w:rFonts w:ascii="Times New Roman" w:cs="宋体" w:hAnsi="Times New Roman" w:hint="eastAsia"/>
                <w:b/>
                <w:bCs/>
                <w:color w:val="000000"/>
                <w:kern w:val="0"/>
                <w:sz w:val="36"/>
                <w:szCs w:val="36"/>
              </w:rPr>
              <w:t>部门支出总表</w:t>
            </w:r>
            <w:r>
              <w:rPr>
                <w:rFonts w:ascii="Times New Roman" w:cs="宋体" w:hAnsi="Times New Roman" w:hint="eastAsia"/>
                <w:color w:val="000000"/>
                <w:kern w:val="0"/>
                <w:sz w:val="36"/>
                <w:szCs w:val="36"/>
              </w:rPr>
              <w:t xml:space="preserve"> </w:t>
            </w:r>
          </w:p>
        </w:tc>
      </w:tr>
      <w:tr>
        <w:trPr>
          <w:trHeight w:val="360"/>
          <w:gridAfter w:val="1"/>
          <w:wAfter w:w="398" w:type="dxa"/>
        </w:trPr>
        <w:tc>
          <w:tcPr>
            <w:tcW w:w="566" w:type="pct"/>
            <w:gridSpan w:val="2"/>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p>
        </w:tc>
        <w:tc>
          <w:tcPr>
            <w:tcW w:w="850" w:type="pct"/>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707" w:type="pct"/>
            <w:gridSpan w:val="2"/>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640" w:type="pct"/>
            <w:gridSpan w:val="3"/>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552" w:type="pct"/>
            <w:gridSpan w:val="2"/>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1541" w:type="pct"/>
            <w:gridSpan w:val="3"/>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 xml:space="preserve"> 单位：万元 </w:t>
            </w:r>
          </w:p>
        </w:tc>
      </w:tr>
      <w:tr>
        <w:trPr>
          <w:trHeight w:val="374"/>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科目代码</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科目名称</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合计</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基本支出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项目支出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上缴上级支出</w:t>
            </w: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事业单位经营支出</w:t>
            </w: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0"/>
                <w:szCs w:val="20"/>
              </w:rPr>
            </w:pPr>
            <w:r>
              <w:rPr>
                <w:rFonts w:ascii="宋体" w:eastAsia="宋体" w:cs="宋体"/>
                <w:sz w:val="20"/>
                <w:szCs w:val="20"/>
              </w:rPr>
              <w:t>对附属单位补助支出</w:t>
            </w: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201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一般公共服务支出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760.26</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661.79</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98.47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 xml:space="preserve">  20109</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 xml:space="preserve">  海关事务</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760.26</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661.79</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98.47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2010901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行政运行</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661.79</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661.79</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2010909</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海关关务</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63.40</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63.40</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2010911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海关监管</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23.00</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23.00</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2010912</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检验检疫</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12.07</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12.07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208</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社会保障和就业支出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66.71</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66.71</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 xml:space="preserve">  20805</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 xml:space="preserve">  行政事业单位养老支出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66.71</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66.71</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2080501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行政单位离退休</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0.47</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0.47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2080505</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机关事业单位基本养老保险缴费支出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42.11</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42.11</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2080506</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机关事业单位职业年金缴费支出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24.13</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24.13</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210</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卫生健康支出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19.90</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19.90</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 xml:space="preserve">  21011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 xml:space="preserve">  行政事业单位医疗</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19.90</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19.90</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2101101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行政单位医疗</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16.71</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16.71</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2101103</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公务员医疗补助</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2.82</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2.82</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2101199</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其他行政事业单位医疗支出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0.37</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0.37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221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住房保障支出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82.37</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82.37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b/>
                <w:bCs/>
                <w:sz w:val="18"/>
                <w:szCs w:val="18"/>
              </w:rPr>
            </w:pPr>
            <w:r>
              <w:rPr>
                <w:rFonts w:ascii="Times New Roman" w:eastAsia="宋体" w:cs="Times New Roman" w:hAnsi="Times New Roman"/>
                <w:b/>
                <w:bCs/>
                <w:sz w:val="18"/>
                <w:szCs w:val="18"/>
              </w:rPr>
              <w:t xml:space="preserve">  22102</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b/>
                <w:bCs/>
                <w:sz w:val="18"/>
                <w:szCs w:val="18"/>
              </w:rPr>
            </w:pPr>
            <w:r>
              <w:rPr>
                <w:rFonts w:ascii="宋体" w:eastAsia="宋体" w:cs="宋体"/>
                <w:b/>
                <w:bCs/>
                <w:sz w:val="18"/>
                <w:szCs w:val="18"/>
              </w:rPr>
              <w:t xml:space="preserve">  住房改革支出</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82.37</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r>
              <w:rPr>
                <w:rFonts w:ascii="Times New Roman" w:eastAsia="宋体" w:cs="Times New Roman" w:hAnsi="Times New Roman"/>
                <w:b/>
                <w:bCs/>
                <w:sz w:val="18"/>
                <w:szCs w:val="18"/>
              </w:rPr>
              <w:t>82.37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bCs/>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2210201</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住房公积金</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50.22</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50.22</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18"/>
                <w:szCs w:val="18"/>
              </w:rPr>
            </w:pPr>
            <w:r>
              <w:rPr>
                <w:rFonts w:ascii="Times New Roman" w:eastAsia="宋体" w:cs="Times New Roman" w:hAnsi="Times New Roman"/>
                <w:sz w:val="18"/>
                <w:szCs w:val="18"/>
              </w:rPr>
              <w:t xml:space="preserve">    2210203</w:t>
            </w: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18"/>
                <w:szCs w:val="18"/>
              </w:rPr>
            </w:pPr>
            <w:r>
              <w:rPr>
                <w:rFonts w:ascii="宋体" w:eastAsia="宋体" w:cs="宋体"/>
                <w:sz w:val="18"/>
                <w:szCs w:val="18"/>
              </w:rPr>
              <w:t xml:space="preserve">    购房补贴</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32.15</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r>
              <w:rPr>
                <w:rFonts w:ascii="Times New Roman" w:eastAsia="宋体" w:cs="Times New Roman" w:hAnsi="Times New Roman"/>
                <w:sz w:val="18"/>
                <w:szCs w:val="18"/>
              </w:rPr>
              <w:t>32.15</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18"/>
                <w:szCs w:val="18"/>
              </w:rPr>
            </w:pP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sz w:val="18"/>
                <w:szCs w:val="18"/>
              </w:rPr>
            </w:pPr>
          </w:p>
        </w:tc>
      </w:tr>
      <w:tr>
        <w:trPr>
          <w:trHeight w:val="449"/>
        </w:trPr>
        <w:tc>
          <w:tcPr>
            <w:tcW w:w="42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b/>
                <w:i w:val="0"/>
                <w:sz w:val="20"/>
                <w:szCs w:val="20"/>
              </w:rPr>
            </w:pPr>
          </w:p>
        </w:tc>
        <w:tc>
          <w:tcPr>
            <w:tcW w:w="1220"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b/>
                <w:i w:val="0"/>
                <w:sz w:val="20"/>
                <w:szCs w:val="20"/>
              </w:rPr>
            </w:pPr>
            <w:r>
              <w:rPr>
                <w:rFonts w:ascii="宋体" w:eastAsia="宋体" w:cs="宋体"/>
                <w:b/>
                <w:i w:val="0"/>
                <w:sz w:val="20"/>
                <w:szCs w:val="20"/>
              </w:rPr>
              <w:t>合        计</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929.24</w:t>
            </w:r>
          </w:p>
        </w:tc>
        <w:tc>
          <w:tcPr>
            <w:tcW w:w="50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830.77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98.47</w:t>
            </w:r>
          </w:p>
        </w:tc>
        <w:tc>
          <w:tcPr>
            <w:tcW w:w="50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b/>
                <w:i w:val="0"/>
                <w:sz w:val="20"/>
                <w:szCs w:val="20"/>
              </w:rPr>
            </w:pPr>
          </w:p>
        </w:tc>
        <w:tc>
          <w:tcPr>
            <w:tcW w:w="64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b/>
                <w:i w:val="0"/>
                <w:sz w:val="20"/>
                <w:szCs w:val="20"/>
              </w:rPr>
            </w:pPr>
          </w:p>
        </w:tc>
        <w:tc>
          <w:tcPr>
            <w:tcW w:w="7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eastAsia="宋体" w:cs="宋体"/>
                <w:b/>
                <w:i w:val="0"/>
                <w:sz w:val="20"/>
                <w:szCs w:val="20"/>
              </w:rPr>
            </w:pPr>
          </w:p>
        </w:tc>
      </w:tr>
    </w:tbl>
    <w:p>
      <w:pPr>
        <w:widowControl/>
        <w:jc w:val="left"/>
        <w:rPr>
          <w:rFonts w:ascii="Times New Roman" w:cs="宋体" w:hAnsi="Times New Roman"/>
          <w:kern w:val="0"/>
          <w:sz w:val="20"/>
          <w:szCs w:val="20"/>
        </w:rPr>
      </w:pPr>
    </w:p>
    <w:p>
      <w:r>
        <w:rPr>
          <w:rFonts w:ascii="Times New Roman" w:eastAsia="黑体" w:cs="宋体" w:hAnsi="Times New Roman"/>
          <w:color w:val="000000"/>
          <w:kern w:val="0"/>
          <w:sz w:val="20"/>
          <w:szCs w:val="20"/>
        </w:rPr>
        <w:br w:type="page"/>
      </w: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544"/>
        <w:gridCol w:w="793"/>
        <w:gridCol w:w="2747"/>
        <w:gridCol w:w="3548"/>
        <w:gridCol w:w="792"/>
        <w:gridCol w:w="2750"/>
      </w:tblGrid>
      <w:tr>
        <w:trPr>
          <w:trHeight w:val="319"/>
        </w:trPr>
        <w:tc>
          <w:tcPr>
            <w:tcW w:w="4029" w:type="pct"/>
            <w:gridSpan w:val="5"/>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970" w:type="pct"/>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部门公开表4</w:t>
            </w:r>
          </w:p>
        </w:tc>
      </w:tr>
      <w:tr>
        <w:trPr>
          <w:trHeight w:val="540"/>
        </w:trPr>
        <w:tc>
          <w:tcPr>
            <w:tcW w:w="5000" w:type="pct"/>
            <w:gridSpan w:val="6"/>
            <w:tcBorders>
              <w:top w:val="nil"/>
              <w:left w:val="nil"/>
              <w:bottom w:val="nil"/>
              <w:right w:val="nil"/>
            </w:tcBorders>
            <w:shd w:val="clear" w:color="auto" w:fill="auto"/>
            <w:noWrap/>
            <w:vAlign w:val="center"/>
          </w:tcPr>
          <w:p>
            <w:pPr>
              <w:widowControl/>
              <w:jc w:val="center"/>
              <w:rPr>
                <w:rFonts w:ascii="Times New Roman" w:cs="宋体" w:hAnsi="Times New Roman"/>
                <w:b/>
                <w:bCs/>
                <w:color w:val="000000"/>
                <w:kern w:val="0"/>
                <w:sz w:val="36"/>
                <w:szCs w:val="36"/>
              </w:rPr>
            </w:pPr>
            <w:r>
              <w:rPr>
                <w:rFonts w:ascii="Times New Roman" w:cs="宋体" w:hAnsi="Times New Roman" w:hint="eastAsia"/>
                <w:b/>
                <w:bCs/>
                <w:color w:val="000000"/>
                <w:kern w:val="0"/>
                <w:sz w:val="36"/>
                <w:szCs w:val="36"/>
              </w:rPr>
              <w:t>财政拨款收支总表</w:t>
            </w:r>
          </w:p>
        </w:tc>
      </w:tr>
      <w:tr>
        <w:trPr>
          <w:trHeight w:val="360"/>
        </w:trPr>
        <w:tc>
          <w:tcPr>
            <w:tcW w:w="1529" w:type="pct"/>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968" w:type="pct"/>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1531" w:type="pct"/>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970" w:type="pct"/>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单位：万元</w:t>
            </w:r>
          </w:p>
        </w:tc>
      </w:tr>
      <w:tr>
        <w:trPr>
          <w:trHeight w:val="374"/>
        </w:trPr>
        <w:tc>
          <w:tcPr>
            <w:tcW w:w="249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收      入</w:t>
            </w:r>
          </w:p>
        </w:tc>
        <w:tc>
          <w:tcPr>
            <w:tcW w:w="2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支      出</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项    目</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预算数</w:t>
            </w: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项    目</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预算数</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一、本年收入</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一、本年支出</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（一）一般公共预算拨款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（一）一般公共服务支出</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560.33</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（二）政府性基金预算拨款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（二）社会保障和就业支出</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66.71</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（三）国有资本经营预算拨款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（三）卫生健康支出</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19.90</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（四）住房保障支出</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65.75</w:t>
            </w: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二、上年结转</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（一）一般公共预算拨款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（二）政府性基金预算拨款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cs="宋体"/>
                <w:sz w:val="24"/>
                <w:szCs w:val="24"/>
              </w:rPr>
            </w:pPr>
            <w:r>
              <w:rPr>
                <w:rFonts w:ascii="宋体" w:eastAsia="宋体" w:cs="宋体"/>
                <w:sz w:val="24"/>
                <w:szCs w:val="24"/>
              </w:rPr>
              <w:t>（三）国有资本经营预算拨款</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eastAsia="宋体"/>
                <w:sz w:val="24"/>
                <w:szCs w:val="24"/>
              </w:rPr>
            </w:pP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Times New Roman" w:eastAsia="宋体" w:cs="Times New Roman" w:hAnsi="Times New Roman"/>
                <w:sz w:val="24"/>
                <w:szCs w:val="24"/>
              </w:rPr>
            </w:pPr>
          </w:p>
        </w:tc>
      </w:tr>
      <w:tr>
        <w:trPr>
          <w:trHeight w:val="374"/>
        </w:trPr>
        <w:tc>
          <w:tcPr>
            <w:tcW w:w="125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 xml:space="preserve">     收    入    总    计</w:t>
            </w:r>
          </w:p>
        </w:tc>
        <w:tc>
          <w:tcPr>
            <w:tcW w:w="124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c>
          <w:tcPr>
            <w:tcW w:w="1251"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cs="宋体"/>
                <w:sz w:val="24"/>
                <w:szCs w:val="24"/>
              </w:rPr>
            </w:pPr>
            <w:r>
              <w:rPr>
                <w:rFonts w:ascii="宋体" w:eastAsia="宋体" w:cs="宋体"/>
                <w:sz w:val="24"/>
                <w:szCs w:val="24"/>
              </w:rPr>
              <w:t xml:space="preserve">     支    出    总    计</w:t>
            </w:r>
          </w:p>
        </w:tc>
        <w:tc>
          <w:tcPr>
            <w:tcW w:w="124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Times New Roman" w:eastAsia="宋体" w:cs="Times New Roman" w:hAnsi="Times New Roman"/>
                <w:sz w:val="24"/>
                <w:szCs w:val="24"/>
              </w:rPr>
            </w:pPr>
            <w:r>
              <w:rPr>
                <w:rFonts w:ascii="Times New Roman" w:eastAsia="宋体" w:cs="Times New Roman" w:hAnsi="Times New Roman"/>
                <w:sz w:val="24"/>
                <w:szCs w:val="24"/>
              </w:rPr>
              <w:t>712.69</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pPr w:leftFromText="181" w:rightFromText="181" w:horzAnchor="margin" w:tblpXSpec="center" w:tblpYSpec="center"/>
        <w:tblW w:w="4997"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24"/>
        <w:gridCol w:w="170"/>
        <w:gridCol w:w="2836"/>
        <w:gridCol w:w="1136"/>
        <w:gridCol w:w="331"/>
        <w:gridCol w:w="799"/>
        <w:gridCol w:w="986"/>
        <w:gridCol w:w="309"/>
        <w:gridCol w:w="623"/>
        <w:gridCol w:w="399"/>
        <w:gridCol w:w="555"/>
        <w:gridCol w:w="326"/>
        <w:gridCol w:w="620"/>
        <w:gridCol w:w="1048"/>
        <w:gridCol w:w="269"/>
        <w:gridCol w:w="782"/>
        <w:gridCol w:w="941"/>
        <w:gridCol w:w="102"/>
        <w:gridCol w:w="1009"/>
      </w:tblGrid>
      <w:tr>
        <w:trPr>
          <w:trHeight w:val="285"/>
        </w:trPr>
        <w:tc>
          <w:tcPr>
            <w:tcW w:w="5000" w:type="pct"/>
            <w:gridSpan w:val="19"/>
            <w:tcBorders>
              <w:top w:val="nil"/>
              <w:left w:val="nil"/>
              <w:bottom w:val="nil"/>
              <w:right w:val="nil"/>
            </w:tcBorders>
            <w:shd w:val="clear" w:color="auto" w:fill="auto"/>
            <w:vAlign w:val="center"/>
          </w:tcPr>
          <w:p>
            <w:pPr>
              <w:widowControl/>
              <w:jc w:val="right"/>
              <w:rPr>
                <w:rFonts w:ascii="Times New Roman" w:cs="宋体" w:hAnsi="Times New Roman"/>
                <w:kern w:val="0"/>
                <w:sz w:val="36"/>
                <w:szCs w:val="36"/>
              </w:rPr>
            </w:pPr>
            <w:r>
              <w:rPr>
                <w:rFonts w:ascii="黑体" w:eastAsia="黑体" w:cs="黑体" w:hint="eastAsia"/>
                <w:kern w:val="0"/>
                <w:sz w:val="20"/>
                <w:szCs w:val="20"/>
              </w:rPr>
              <w:t>部门公开表5</w:t>
            </w:r>
          </w:p>
        </w:tc>
      </w:tr>
      <w:tr>
        <w:trPr>
          <w:trHeight w:val="285"/>
        </w:trPr>
        <w:tc>
          <w:tcPr>
            <w:tcW w:w="5000" w:type="pct"/>
            <w:gridSpan w:val="19"/>
            <w:tcBorders>
              <w:top w:val="nil"/>
              <w:left w:val="nil"/>
              <w:bottom w:val="nil"/>
              <w:right w:val="nil"/>
            </w:tcBorders>
            <w:shd w:val="clear" w:color="auto" w:fill="auto"/>
            <w:vAlign w:val="center"/>
          </w:tcPr>
          <w:p>
            <w:pPr>
              <w:widowControl/>
              <w:jc w:val="center"/>
              <w:rPr>
                <w:rFonts w:ascii="Times New Roman" w:cs="宋体" w:hAnsi="Times New Roman"/>
                <w:b/>
                <w:bCs/>
                <w:kern w:val="0"/>
                <w:sz w:val="36"/>
                <w:szCs w:val="36"/>
              </w:rPr>
            </w:pPr>
            <w:r>
              <w:rPr>
                <w:rFonts w:ascii="Times New Roman" w:cs="宋体" w:hAnsi="Times New Roman" w:hint="eastAsia"/>
                <w:b/>
                <w:bCs/>
                <w:kern w:val="0"/>
                <w:sz w:val="36"/>
                <w:szCs w:val="36"/>
              </w:rPr>
              <w:t>一般公共预算支出表</w:t>
            </w:r>
          </w:p>
        </w:tc>
      </w:tr>
      <w:tr>
        <w:trPr>
          <w:trHeight w:val="255"/>
        </w:trPr>
        <w:tc>
          <w:tcPr>
            <w:tcW w:w="326" w:type="pct"/>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060"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518"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282" w:type="pct"/>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457"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361"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311"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217" w:type="pct"/>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465"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275" w:type="pct"/>
            <w:tcBorders>
              <w:top w:val="nil"/>
              <w:left w:val="nil"/>
              <w:bottom w:val="nil"/>
              <w:right w:val="nil"/>
            </w:tcBorders>
            <w:shd w:val="clear" w:color="auto" w:fill="auto"/>
            <w:noWrap/>
            <w:vAlign w:val="center"/>
          </w:tcPr>
          <w:p>
            <w:pPr>
              <w:widowControl/>
              <w:jc w:val="left"/>
              <w:rPr>
                <w:rFonts w:ascii="Times New Roman" w:cs="宋体" w:hAnsi="Times New Roman"/>
                <w:kern w:val="0"/>
                <w:sz w:val="16"/>
                <w:szCs w:val="16"/>
              </w:rPr>
            </w:pPr>
          </w:p>
        </w:tc>
        <w:tc>
          <w:tcPr>
            <w:tcW w:w="368" w:type="pct"/>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354" w:type="pct"/>
            <w:tcBorders>
              <w:top w:val="nil"/>
              <w:left w:val="nil"/>
              <w:bottom w:val="nil"/>
              <w:right w:val="nil"/>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单位：万元</w:t>
            </w:r>
          </w:p>
        </w:tc>
      </w:tr>
      <w:tr>
        <w:trPr>
          <w:trHeight w:val="255"/>
        </w:trPr>
        <w:tc>
          <w:tcPr>
            <w:tcW w:w="138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功能分类科目</w:t>
            </w:r>
          </w:p>
        </w:tc>
        <w:tc>
          <w:tcPr>
            <w:tcW w:w="800" w:type="pct"/>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eastAsia="宋体" w:cs="宋体"/>
                <w:kern w:val="0"/>
                <w:sz w:val="20"/>
                <w:szCs w:val="20"/>
              </w:rPr>
            </w:pPr>
            <w:r>
              <w:rPr>
                <w:rFonts w:ascii="Times New Roman" w:eastAsia="宋体" w:cs="Times New Roman" w:hAnsi="Times New Roman"/>
                <w:kern w:val="0"/>
                <w:sz w:val="20"/>
                <w:szCs w:val="20"/>
              </w:rPr>
              <w:t>2025</w:t>
            </w:r>
            <w:r>
              <w:rPr>
                <w:rFonts w:ascii="宋体" w:eastAsia="宋体" w:cs="宋体" w:hint="eastAsia"/>
                <w:kern w:val="0"/>
                <w:sz w:val="20"/>
                <w:szCs w:val="20"/>
              </w:rPr>
              <w:t>年执行数</w:t>
            </w:r>
          </w:p>
        </w:tc>
        <w:tc>
          <w:tcPr>
            <w:tcW w:w="1348" w:type="pct"/>
            <w:gridSpan w:val="7"/>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eastAsia="宋体" w:cs="宋体"/>
                <w:kern w:val="0"/>
                <w:sz w:val="20"/>
                <w:szCs w:val="20"/>
              </w:rPr>
            </w:pPr>
            <w:r>
              <w:rPr>
                <w:rFonts w:ascii="Times New Roman" w:eastAsia="宋体" w:cs="Times New Roman" w:hAnsi="Times New Roman"/>
                <w:kern w:val="0"/>
                <w:sz w:val="20"/>
                <w:szCs w:val="20"/>
              </w:rPr>
              <w:t>2026</w:t>
            </w:r>
            <w:r>
              <w:rPr>
                <w:rFonts w:ascii="宋体" w:eastAsia="宋体" w:cs="宋体" w:hint="eastAsia"/>
                <w:kern w:val="0"/>
                <w:sz w:val="20"/>
                <w:szCs w:val="20"/>
              </w:rPr>
              <w:t>年预算数</w:t>
            </w:r>
          </w:p>
        </w:tc>
        <w:tc>
          <w:tcPr>
            <w:tcW w:w="741" w:type="pct"/>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eastAsia="宋体" w:cs="宋体"/>
                <w:kern w:val="0"/>
                <w:sz w:val="20"/>
                <w:szCs w:val="20"/>
              </w:rPr>
            </w:pPr>
            <w:r>
              <w:rPr>
                <w:rFonts w:ascii="Times New Roman" w:eastAsia="宋体" w:cs="Times New Roman" w:hAnsi="Times New Roman"/>
                <w:kern w:val="0"/>
                <w:sz w:val="20"/>
                <w:szCs w:val="20"/>
              </w:rPr>
              <w:t>2026</w:t>
            </w:r>
            <w:r>
              <w:rPr>
                <w:rFonts w:ascii="宋体" w:eastAsia="宋体" w:cs="宋体" w:hint="eastAsia"/>
                <w:kern w:val="0"/>
                <w:sz w:val="20"/>
                <w:szCs w:val="20"/>
              </w:rPr>
              <w:t>年预算数比</w:t>
            </w:r>
          </w:p>
          <w:p>
            <w:pPr>
              <w:widowControl/>
              <w:jc w:val="center"/>
              <w:rPr>
                <w:rFonts w:ascii="宋体" w:eastAsia="宋体" w:cs="宋体"/>
                <w:kern w:val="0"/>
                <w:sz w:val="20"/>
                <w:szCs w:val="20"/>
              </w:rPr>
            </w:pPr>
            <w:r>
              <w:rPr>
                <w:rFonts w:ascii="Times New Roman" w:eastAsia="宋体" w:cs="Times New Roman" w:hAnsi="Times New Roman"/>
                <w:kern w:val="0"/>
                <w:sz w:val="20"/>
                <w:szCs w:val="20"/>
              </w:rPr>
              <w:t>2025</w:t>
            </w:r>
            <w:r>
              <w:rPr>
                <w:rFonts w:ascii="宋体" w:eastAsia="宋体" w:cs="宋体" w:hint="eastAsia"/>
                <w:kern w:val="0"/>
                <w:sz w:val="20"/>
                <w:szCs w:val="20"/>
              </w:rPr>
              <w:t>年执行数</w:t>
            </w:r>
          </w:p>
        </w:tc>
        <w:tc>
          <w:tcPr>
            <w:tcW w:w="722" w:type="pct"/>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eastAsia="宋体" w:cs="宋体"/>
                <w:kern w:val="0"/>
                <w:sz w:val="20"/>
                <w:szCs w:val="20"/>
              </w:rPr>
            </w:pPr>
            <w:r>
              <w:rPr>
                <w:rFonts w:ascii="Times New Roman" w:eastAsia="宋体" w:cs="Times New Roman" w:hAnsi="Times New Roman"/>
                <w:kern w:val="0"/>
                <w:sz w:val="20"/>
                <w:szCs w:val="20"/>
              </w:rPr>
              <w:t>2026</w:t>
            </w:r>
            <w:r>
              <w:rPr>
                <w:rFonts w:ascii="宋体" w:eastAsia="宋体" w:cs="宋体" w:hint="eastAsia"/>
                <w:kern w:val="0"/>
                <w:sz w:val="20"/>
                <w:szCs w:val="20"/>
              </w:rPr>
              <w:t>年预算数比</w:t>
            </w:r>
          </w:p>
          <w:p>
            <w:pPr>
              <w:widowControl/>
              <w:jc w:val="center"/>
              <w:rPr>
                <w:rFonts w:ascii="宋体" w:eastAsia="宋体" w:cs="宋体"/>
                <w:kern w:val="0"/>
                <w:sz w:val="20"/>
                <w:szCs w:val="20"/>
              </w:rPr>
            </w:pPr>
            <w:r>
              <w:rPr>
                <w:rFonts w:ascii="Times New Roman" w:eastAsia="宋体" w:cs="Times New Roman" w:hAnsi="Times New Roman"/>
                <w:kern w:val="0"/>
                <w:sz w:val="20"/>
                <w:szCs w:val="20"/>
              </w:rPr>
              <w:t>2025</w:t>
            </w:r>
            <w:r>
              <w:rPr>
                <w:rFonts w:ascii="宋体" w:eastAsia="宋体" w:cs="宋体" w:hint="eastAsia"/>
                <w:kern w:val="0"/>
                <w:sz w:val="20"/>
                <w:szCs w:val="20"/>
              </w:rPr>
              <w:t>年执行数</w:t>
            </w:r>
          </w:p>
          <w:p>
            <w:pPr>
              <w:widowControl/>
              <w:jc w:val="center"/>
              <w:rPr>
                <w:rFonts w:ascii="宋体" w:eastAsia="宋体" w:cs="宋体"/>
                <w:kern w:val="0"/>
                <w:sz w:val="20"/>
                <w:szCs w:val="20"/>
              </w:rPr>
            </w:pPr>
            <w:r>
              <w:rPr>
                <w:rFonts w:ascii="宋体" w:eastAsia="宋体" w:cs="宋体" w:hint="eastAsia"/>
                <w:kern w:val="0"/>
                <w:sz w:val="20"/>
                <w:szCs w:val="20"/>
              </w:rPr>
              <w:t>（扣除中央基建投资）</w:t>
            </w:r>
          </w:p>
        </w:tc>
      </w:tr>
      <w:tr>
        <w:trPr>
          <w:trHeight w:val="255"/>
        </w:trPr>
        <w:tc>
          <w:tcPr>
            <w:tcW w:w="386" w:type="pct"/>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科目编码</w:t>
            </w:r>
          </w:p>
        </w:tc>
        <w:tc>
          <w:tcPr>
            <w:tcW w:w="1000" w:type="pct"/>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科目名称</w:t>
            </w:r>
          </w:p>
        </w:tc>
        <w:tc>
          <w:tcPr>
            <w:tcW w:w="401" w:type="pct"/>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执行数</w:t>
            </w:r>
          </w:p>
        </w:tc>
        <w:tc>
          <w:tcPr>
            <w:tcW w:w="398" w:type="pct"/>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扣除中央基建投资后执行数</w:t>
            </w:r>
          </w:p>
        </w:tc>
        <w:tc>
          <w:tcPr>
            <w:tcW w:w="1014"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年初预算数</w:t>
            </w:r>
          </w:p>
        </w:tc>
        <w:tc>
          <w:tcPr>
            <w:tcW w:w="334" w:type="pct"/>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扣除中央基建投资后预算数</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增减额</w:t>
            </w:r>
          </w:p>
        </w:tc>
        <w:tc>
          <w:tcPr>
            <w:tcW w:w="370" w:type="pct"/>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增减(%)</w:t>
            </w:r>
          </w:p>
        </w:tc>
        <w:tc>
          <w:tcPr>
            <w:tcW w:w="332" w:type="pct"/>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增减额</w:t>
            </w:r>
          </w:p>
        </w:tc>
        <w:tc>
          <w:tcPr>
            <w:tcW w:w="389" w:type="pct"/>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eastAsia="宋体" w:cs="宋体"/>
                <w:kern w:val="0"/>
                <w:sz w:val="20"/>
                <w:szCs w:val="20"/>
              </w:rPr>
            </w:pPr>
            <w:r>
              <w:rPr>
                <w:rFonts w:ascii="宋体" w:eastAsia="宋体" w:cs="宋体" w:hint="eastAsia"/>
                <w:kern w:val="0"/>
                <w:sz w:val="20"/>
                <w:szCs w:val="20"/>
              </w:rPr>
              <w:t>增减（%)</w:t>
            </w:r>
          </w:p>
        </w:tc>
      </w:tr>
      <w:tr>
        <w:trPr>
          <w:trHeight w:val="254"/>
        </w:trPr>
        <w:tc>
          <w:tcPr>
            <w:tcW w:w="489" w:type="pct"/>
            <w:gridSpan w:val="2"/>
            <w:vMerge/>
            <w:tcBorders>
              <w:top w:val="nil"/>
              <w:left w:val="single" w:sz="4" w:space="0" w:color="auto"/>
              <w:bottom w:val="single" w:sz="4" w:space="0" w:color="000000"/>
              <w:right w:val="single" w:sz="4" w:space="0" w:color="auto"/>
            </w:tcBorders>
            <w:vAlign w:val="center"/>
          </w:tcPr>
          <w:p/>
        </w:tc>
        <w:tc>
          <w:tcPr>
            <w:tcW w:w="949" w:type="pct"/>
            <w:vMerge/>
            <w:tcBorders>
              <w:top w:val="nil"/>
              <w:left w:val="single" w:sz="4" w:space="0" w:color="auto"/>
              <w:bottom w:val="single" w:sz="4" w:space="0" w:color="000000"/>
              <w:right w:val="single" w:sz="4" w:space="0" w:color="auto"/>
            </w:tcBorders>
            <w:vAlign w:val="center"/>
          </w:tcPr>
          <w:p/>
        </w:tc>
        <w:tc>
          <w:tcPr>
            <w:tcW w:w="351" w:type="pct"/>
            <w:vMerge/>
            <w:tcBorders>
              <w:top w:val="nil"/>
              <w:left w:val="single" w:sz="4" w:space="0" w:color="auto"/>
              <w:bottom w:val="single" w:sz="4" w:space="0" w:color="000000"/>
              <w:right w:val="single" w:sz="4" w:space="0" w:color="auto"/>
            </w:tcBorders>
            <w:vAlign w:val="center"/>
          </w:tcPr>
          <w:p/>
        </w:tc>
        <w:tc>
          <w:tcPr>
            <w:tcW w:w="400" w:type="pct"/>
            <w:gridSpan w:val="2"/>
            <w:vMerge/>
            <w:tcBorders>
              <w:top w:val="nil"/>
              <w:left w:val="single" w:sz="4" w:space="0" w:color="auto"/>
              <w:bottom w:val="single" w:sz="4" w:space="0" w:color="000000"/>
              <w:right w:val="single" w:sz="4" w:space="0" w:color="auto"/>
            </w:tcBorders>
            <w:vAlign w:val="center"/>
          </w:tcPr>
          <w:p/>
        </w:tc>
        <w:tc>
          <w:tcPr>
            <w:tcW w:w="348"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329" w:type="pct"/>
            <w:gridSpan w:val="2"/>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335" w:type="pct"/>
            <w:gridSpan w:val="2"/>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400" w:type="pct"/>
            <w:gridSpan w:val="2"/>
            <w:vMerge/>
            <w:tcBorders>
              <w:top w:val="nil"/>
              <w:left w:val="single" w:sz="4" w:space="0" w:color="auto"/>
              <w:bottom w:val="single" w:sz="4" w:space="0" w:color="000000"/>
              <w:right w:val="single" w:sz="4" w:space="0" w:color="auto"/>
            </w:tcBorders>
            <w:vAlign w:val="center"/>
          </w:tcPr>
          <w:p/>
        </w:tc>
        <w:tc>
          <w:tcPr>
            <w:tcW w:w="350" w:type="pct"/>
            <w:vMerge/>
            <w:tcBorders>
              <w:top w:val="nil"/>
              <w:left w:val="single" w:sz="4" w:space="0" w:color="auto"/>
              <w:bottom w:val="single" w:sz="4" w:space="0" w:color="000000"/>
              <w:right w:val="single" w:sz="4" w:space="0" w:color="auto"/>
            </w:tcBorders>
            <w:vAlign w:val="center"/>
          </w:tcPr>
          <w:p/>
        </w:tc>
        <w:tc>
          <w:tcPr>
            <w:tcW w:w="350" w:type="pct"/>
            <w:gridSpan w:val="2"/>
            <w:vMerge/>
            <w:tcBorders>
              <w:top w:val="nil"/>
              <w:left w:val="single" w:sz="4" w:space="0" w:color="auto"/>
              <w:bottom w:val="single" w:sz="4" w:space="0" w:color="000000"/>
              <w:right w:val="single" w:sz="4" w:space="0" w:color="auto"/>
            </w:tcBorders>
            <w:vAlign w:val="center"/>
          </w:tcPr>
          <w:p/>
        </w:tc>
        <w:tc>
          <w:tcPr>
            <w:tcW w:w="355" w:type="pct"/>
            <w:vMerge/>
            <w:tcBorders>
              <w:top w:val="nil"/>
              <w:left w:val="single" w:sz="4" w:space="0" w:color="auto"/>
              <w:bottom w:val="single" w:sz="4" w:space="0" w:color="000000"/>
              <w:right w:val="single" w:sz="4" w:space="0" w:color="auto"/>
            </w:tcBorders>
            <w:vAlign w:val="center"/>
          </w:tcPr>
          <w:p/>
        </w:tc>
        <w:tc>
          <w:tcPr>
            <w:tcW w:w="406" w:type="pct"/>
            <w:gridSpan w:val="2"/>
            <w:vMerge/>
            <w:tcBorders>
              <w:top w:val="nil"/>
              <w:left w:val="single" w:sz="4" w:space="0" w:color="auto"/>
              <w:bottom w:val="single" w:sz="4" w:space="0" w:color="000000"/>
              <w:right w:val="single" w:sz="4" w:space="0" w:color="auto"/>
            </w:tcBorders>
            <w:vAlign w:val="center"/>
          </w:tcP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201</w:t>
            </w:r>
          </w:p>
        </w:tc>
        <w:tc>
          <w:tcPr>
            <w:tcW w:w="1000" w:type="pct"/>
            <w:tcBorders>
              <w:top w:val="nil"/>
              <w:left w:val="nil"/>
              <w:bottom w:val="single" w:sz="4" w:space="0" w:color="auto"/>
              <w:right w:val="single" w:sz="4" w:space="0" w:color="auto"/>
            </w:tcBorders>
            <w:shd w:val="clear" w:color="auto" w:fill="auto"/>
            <w:noWrap/>
            <w:vAlign w:val="center"/>
          </w:tcPr>
          <w:p>
            <w:pPr>
              <w:ind w:left="0" w:firstLineChars="100" w:firstLine="200"/>
              <w:rPr>
                <w:rFonts w:ascii="宋体" w:cs="宋体"/>
                <w:b/>
                <w:bCs/>
                <w:color w:val="000000"/>
                <w:sz w:val="20"/>
                <w:szCs w:val="20"/>
              </w:rPr>
            </w:pPr>
            <w:r>
              <w:rPr>
                <w:rFonts w:hint="eastAsia"/>
                <w:b/>
                <w:bCs/>
                <w:color w:val="000000"/>
                <w:sz w:val="20"/>
                <w:szCs w:val="20"/>
              </w:rPr>
              <w:t>一般公共服务支出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561.09</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561.09</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560.33</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461.86</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98.47</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560.33</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-0.76</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-0.14%</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-0.76</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-0.14%</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20109</w:t>
            </w:r>
          </w:p>
        </w:tc>
        <w:tc>
          <w:tcPr>
            <w:tcW w:w="1000" w:type="pct"/>
            <w:tcBorders>
              <w:top w:val="nil"/>
              <w:left w:val="nil"/>
              <w:bottom w:val="single" w:sz="4" w:space="0" w:color="auto"/>
              <w:right w:val="single" w:sz="4" w:space="0" w:color="auto"/>
            </w:tcBorders>
            <w:shd w:val="clear" w:color="auto" w:fill="auto"/>
            <w:noWrap/>
            <w:vAlign w:val="center"/>
          </w:tcPr>
          <w:p>
            <w:pPr>
              <w:ind w:firstLineChars="200" w:firstLine="400"/>
              <w:rPr>
                <w:rFonts w:ascii="宋体" w:cs="宋体"/>
                <w:b/>
                <w:bCs/>
                <w:color w:val="000000"/>
                <w:sz w:val="20"/>
                <w:szCs w:val="20"/>
              </w:rPr>
            </w:pPr>
            <w:r>
              <w:rPr>
                <w:rFonts w:hint="eastAsia"/>
                <w:b/>
                <w:bCs/>
                <w:color w:val="000000"/>
                <w:sz w:val="20"/>
                <w:szCs w:val="20"/>
              </w:rPr>
              <w:t>海关事务</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561.09</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561.09</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560.33</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461.86</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98.47</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560.33</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-0.76</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-0.14%</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-0.76</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-0.14%</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2010901</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行政运行</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485.51</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485.51</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461.86</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461.86</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461.86</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-23.65</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-4.87%</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-23.65</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-4.87%</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2010909</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海关关务</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44.98</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44.98</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63.4</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63.40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63.4</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18.42</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40.95%</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18.42</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40.95%</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2010911</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海关监管</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20.00</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20.00</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23</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23.00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23</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15.00%</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15.00%</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2010912</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检验检疫</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10.60</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10.60</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12.07</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12.07</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12.07</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1.47</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13.87%</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1.47</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13.87%</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208</w:t>
            </w:r>
          </w:p>
        </w:tc>
        <w:tc>
          <w:tcPr>
            <w:tcW w:w="1000" w:type="pct"/>
            <w:tcBorders>
              <w:top w:val="nil"/>
              <w:left w:val="nil"/>
              <w:bottom w:val="single" w:sz="4" w:space="0" w:color="auto"/>
              <w:right w:val="single" w:sz="4" w:space="0" w:color="auto"/>
            </w:tcBorders>
            <w:shd w:val="clear" w:color="auto" w:fill="auto"/>
            <w:noWrap/>
            <w:vAlign w:val="center"/>
          </w:tcPr>
          <w:p>
            <w:pPr>
              <w:ind w:left="0" w:firstLineChars="100" w:firstLine="200"/>
              <w:rPr>
                <w:rFonts w:ascii="宋体" w:cs="宋体"/>
                <w:b/>
                <w:bCs/>
                <w:color w:val="000000"/>
                <w:sz w:val="20"/>
                <w:szCs w:val="20"/>
              </w:rPr>
            </w:pPr>
            <w:r>
              <w:rPr>
                <w:rFonts w:hint="eastAsia"/>
                <w:b/>
                <w:bCs/>
                <w:color w:val="000000"/>
                <w:sz w:val="20"/>
                <w:szCs w:val="20"/>
              </w:rPr>
              <w:t>社会保障和就业支出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69.18</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69.18</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66.71</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66.71</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66.71</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-2.47</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-3.57%</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-2.47</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-3.57%</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20805</w:t>
            </w:r>
          </w:p>
        </w:tc>
        <w:tc>
          <w:tcPr>
            <w:tcW w:w="1000" w:type="pct"/>
            <w:tcBorders>
              <w:top w:val="nil"/>
              <w:left w:val="nil"/>
              <w:bottom w:val="single" w:sz="4" w:space="0" w:color="auto"/>
              <w:right w:val="single" w:sz="4" w:space="0" w:color="auto"/>
            </w:tcBorders>
            <w:shd w:val="clear" w:color="auto" w:fill="auto"/>
            <w:noWrap/>
            <w:vAlign w:val="center"/>
          </w:tcPr>
          <w:p>
            <w:pPr>
              <w:ind w:firstLineChars="200" w:firstLine="400"/>
              <w:rPr>
                <w:rFonts w:ascii="宋体" w:cs="宋体"/>
                <w:b/>
                <w:bCs/>
                <w:color w:val="000000"/>
                <w:sz w:val="20"/>
                <w:szCs w:val="20"/>
              </w:rPr>
            </w:pPr>
            <w:r>
              <w:rPr>
                <w:rFonts w:hint="eastAsia"/>
                <w:b/>
                <w:bCs/>
                <w:color w:val="000000"/>
                <w:sz w:val="20"/>
                <w:szCs w:val="20"/>
              </w:rPr>
              <w:t>行政事业单位养老支出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69.18</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69.18</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66.71</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66.71</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66.71</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-2.47</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-3.57%</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-2.47</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-3.57%</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2080501</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行政单位离退休</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0.42</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0.42</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0.47</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0.47</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0.47</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0.05</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11.90%</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0.05</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11.90%</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2080505</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机关事业单位基本养老保险缴费支出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45.27</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45.27</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42.11</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42.11</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42.11</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-3.16</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-6.98%</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-3.16</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-6.98%</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2080506</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机关事业单位职业年金缴费支出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23.49</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23.49</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24.13</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24.13</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24.13</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0.64</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2.72%</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0.64</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2.72%</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210</w:t>
            </w:r>
          </w:p>
        </w:tc>
        <w:tc>
          <w:tcPr>
            <w:tcW w:w="1000" w:type="pct"/>
            <w:tcBorders>
              <w:top w:val="nil"/>
              <w:left w:val="nil"/>
              <w:bottom w:val="single" w:sz="4" w:space="0" w:color="auto"/>
              <w:right w:val="single" w:sz="4" w:space="0" w:color="auto"/>
            </w:tcBorders>
            <w:shd w:val="clear" w:color="auto" w:fill="auto"/>
            <w:noWrap/>
            <w:vAlign w:val="center"/>
          </w:tcPr>
          <w:p>
            <w:pPr>
              <w:ind w:firstLineChars="100" w:firstLine="200"/>
              <w:rPr>
                <w:rFonts w:ascii="宋体" w:cs="宋体"/>
                <w:b/>
                <w:bCs/>
                <w:color w:val="000000"/>
                <w:sz w:val="20"/>
                <w:szCs w:val="20"/>
              </w:rPr>
            </w:pPr>
            <w:r>
              <w:rPr>
                <w:rFonts w:hint="eastAsia"/>
                <w:b/>
                <w:bCs/>
                <w:color w:val="000000"/>
                <w:sz w:val="20"/>
                <w:szCs w:val="20"/>
              </w:rPr>
              <w:t>卫生健康支出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18.4</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18.4</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19.9</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19.9</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19.9</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1.5</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8.15%</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1.5</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8.15%</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21011</w:t>
            </w:r>
          </w:p>
        </w:tc>
        <w:tc>
          <w:tcPr>
            <w:tcW w:w="1000" w:type="pct"/>
            <w:tcBorders>
              <w:top w:val="nil"/>
              <w:left w:val="nil"/>
              <w:bottom w:val="single" w:sz="4" w:space="0" w:color="auto"/>
              <w:right w:val="single" w:sz="4" w:space="0" w:color="auto"/>
            </w:tcBorders>
            <w:shd w:val="clear" w:color="auto" w:fill="auto"/>
            <w:noWrap/>
            <w:vAlign w:val="center"/>
          </w:tcPr>
          <w:p>
            <w:pPr>
              <w:ind w:firstLineChars="200" w:firstLine="400"/>
              <w:rPr>
                <w:rFonts w:ascii="宋体" w:cs="宋体"/>
                <w:b/>
                <w:bCs/>
                <w:color w:val="000000"/>
                <w:sz w:val="20"/>
                <w:szCs w:val="20"/>
              </w:rPr>
            </w:pPr>
            <w:r>
              <w:rPr>
                <w:rFonts w:hint="eastAsia"/>
                <w:b/>
                <w:bCs/>
                <w:color w:val="000000"/>
                <w:sz w:val="20"/>
                <w:szCs w:val="20"/>
              </w:rPr>
              <w:t>行政事业单位医疗</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18.4</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18.4</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19.9</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19.9</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19.9</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1.5</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8.15%</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1.5</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8.15%</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2101101</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行政单位医疗</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11.29</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11.29</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16.71</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16.71</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16.71</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5.42</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48.01%</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5.42</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48.01%</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2101103</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公务员医疗补助</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6.58</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6.58</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2.82</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2.82</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2.82</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-3.76</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-57.14%</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-3.76</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-57.14%</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2101199</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其他行政事业单位医疗支出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0.53</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0.53</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0.37</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0.37</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0.37</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-0.16</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-30.19%</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-0.16</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-30.19%</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221</w:t>
            </w:r>
          </w:p>
        </w:tc>
        <w:tc>
          <w:tcPr>
            <w:tcW w:w="1000" w:type="pct"/>
            <w:tcBorders>
              <w:top w:val="nil"/>
              <w:left w:val="nil"/>
              <w:bottom w:val="single" w:sz="4" w:space="0" w:color="auto"/>
              <w:right w:val="single" w:sz="4" w:space="0" w:color="auto"/>
            </w:tcBorders>
            <w:shd w:val="clear" w:color="auto" w:fill="auto"/>
            <w:noWrap/>
            <w:vAlign w:val="center"/>
          </w:tcPr>
          <w:p>
            <w:pPr>
              <w:ind w:firstLineChars="100" w:firstLine="200"/>
              <w:rPr>
                <w:rFonts w:ascii="宋体" w:cs="宋体"/>
                <w:b/>
                <w:bCs/>
                <w:color w:val="000000"/>
                <w:sz w:val="20"/>
                <w:szCs w:val="20"/>
              </w:rPr>
            </w:pPr>
            <w:r>
              <w:rPr>
                <w:rFonts w:hint="eastAsia"/>
                <w:b/>
                <w:bCs/>
                <w:color w:val="000000"/>
                <w:sz w:val="20"/>
                <w:szCs w:val="20"/>
              </w:rPr>
              <w:t>住房保障支出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74.14</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74.14</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65.75</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65.75</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bCs/>
                <w:sz w:val="22"/>
              </w:rPr>
            </w:pPr>
            <w:r>
              <w:rPr>
                <w:rFonts w:ascii="Times New Roman" w:eastAsia="宋体" w:cs="Times New Roman" w:hAnsi="Times New Roman"/>
                <w:b/>
                <w:bCs/>
                <w:sz w:val="22"/>
              </w:rPr>
              <w:t>65.75</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-8.39</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-11.32%</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-8.39</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-11.32%</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22102</w:t>
            </w:r>
          </w:p>
        </w:tc>
        <w:tc>
          <w:tcPr>
            <w:tcW w:w="1000" w:type="pct"/>
            <w:tcBorders>
              <w:top w:val="nil"/>
              <w:left w:val="nil"/>
              <w:bottom w:val="single" w:sz="4" w:space="0" w:color="auto"/>
              <w:right w:val="single" w:sz="4" w:space="0" w:color="auto"/>
            </w:tcBorders>
            <w:shd w:val="clear" w:color="auto" w:fill="auto"/>
            <w:noWrap/>
            <w:vAlign w:val="center"/>
          </w:tcPr>
          <w:p>
            <w:pPr>
              <w:ind w:firstLineChars="200" w:firstLine="400"/>
              <w:rPr>
                <w:rFonts w:ascii="宋体" w:cs="宋体"/>
                <w:b/>
                <w:bCs/>
                <w:color w:val="000000"/>
                <w:sz w:val="20"/>
                <w:szCs w:val="20"/>
              </w:rPr>
            </w:pPr>
            <w:r>
              <w:rPr>
                <w:rFonts w:hint="eastAsia"/>
                <w:b/>
                <w:bCs/>
                <w:color w:val="000000"/>
                <w:sz w:val="20"/>
                <w:szCs w:val="20"/>
              </w:rPr>
              <w:t>住房改革支出</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74.14</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74.14</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65.75</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65.75</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0</w:t>
            </w: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65.75</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-8.39</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-11.32%</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-8.39</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-11.32%</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2210201</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住房公积金</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36.40</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36.40</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33.6</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33.60</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33.6</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-2.8</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-7.69%</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-2.8</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-7.69%</w:t>
            </w:r>
          </w:p>
        </w:tc>
      </w:tr>
      <w:tr>
        <w:trPr>
          <w:trHeight w:val="254"/>
        </w:trPr>
        <w:tc>
          <w:tcPr>
            <w:tcW w:w="386" w:type="pct"/>
            <w:gridSpan w:val="2"/>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2210203</w:t>
            </w:r>
          </w:p>
        </w:tc>
        <w:tc>
          <w:tcPr>
            <w:tcW w:w="1000" w:type="pct"/>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购房补贴</w:t>
            </w:r>
          </w:p>
        </w:tc>
        <w:tc>
          <w:tcPr>
            <w:tcW w:w="401"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37.74</w:t>
            </w:r>
          </w:p>
        </w:tc>
        <w:tc>
          <w:tcPr>
            <w:tcW w:w="398"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37.74</w:t>
            </w:r>
          </w:p>
        </w:tc>
        <w:tc>
          <w:tcPr>
            <w:tcW w:w="348" w:type="pct"/>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32.15</w:t>
            </w:r>
          </w:p>
        </w:tc>
        <w:tc>
          <w:tcPr>
            <w:tcW w:w="32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32.15</w:t>
            </w:r>
          </w:p>
        </w:tc>
        <w:tc>
          <w:tcPr>
            <w:tcW w:w="335"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p>
        </w:tc>
        <w:tc>
          <w:tcPr>
            <w:tcW w:w="334"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2"/>
              </w:rPr>
            </w:pPr>
            <w:r>
              <w:rPr>
                <w:rFonts w:ascii="Times New Roman" w:eastAsia="宋体" w:cs="Times New Roman" w:hAnsi="Times New Roman"/>
                <w:sz w:val="22"/>
              </w:rPr>
              <w:t>32.15</w:t>
            </w:r>
          </w:p>
        </w:tc>
        <w:tc>
          <w:tcPr>
            <w:tcW w:w="370"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-5.59</w:t>
            </w:r>
          </w:p>
        </w:tc>
        <w:tc>
          <w:tcPr>
            <w:tcW w:w="370"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-14.81%</w:t>
            </w:r>
          </w:p>
        </w:tc>
        <w:tc>
          <w:tcPr>
            <w:tcW w:w="332" w:type="pct"/>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-5.59</w:t>
            </w:r>
          </w:p>
        </w:tc>
        <w:tc>
          <w:tcPr>
            <w:tcW w:w="389" w:type="pct"/>
            <w:gridSpan w:val="2"/>
            <w:tcBorders>
              <w:top w:val="nil"/>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color w:val="000000"/>
                <w:sz w:val="20"/>
              </w:rPr>
            </w:pPr>
            <w:r>
              <w:rPr>
                <w:rFonts w:ascii="Times New Roman" w:eastAsia="Calibri" w:cs="Times New Roman" w:hAnsi="Times New Roman"/>
                <w:color w:val="000000"/>
                <w:sz w:val="20"/>
              </w:rPr>
              <w:t>-14.81%</w:t>
            </w:r>
          </w:p>
        </w:tc>
      </w:tr>
      <w:tr>
        <w:trPr>
          <w:trHeight w:val="254"/>
        </w:trPr>
        <w:tc>
          <w:tcPr>
            <w:tcW w:w="1387"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b/>
                <w:bCs/>
                <w:color w:val="000000"/>
                <w:kern w:val="0"/>
                <w:sz w:val="20"/>
                <w:szCs w:val="20"/>
              </w:rPr>
            </w:pPr>
            <w:r>
              <w:rPr>
                <w:rFonts w:ascii="宋体" w:eastAsia="宋体" w:hint="eastAsia"/>
                <w:b/>
                <w:bCs/>
                <w:color w:val="000000"/>
                <w:sz w:val="20"/>
                <w:szCs w:val="20"/>
              </w:rPr>
              <w:t>合</w:t>
            </w:r>
            <w:r>
              <w:rPr>
                <w:rFonts w:ascii="宋体" w:eastAsia="宋体" w:cs="Times New Roman"/>
                <w:b/>
                <w:bCs/>
                <w:color w:val="000000"/>
                <w:sz w:val="20"/>
                <w:szCs w:val="20"/>
              </w:rPr>
              <w:t xml:space="preserve">      </w:t>
            </w:r>
            <w:r>
              <w:rPr>
                <w:rFonts w:ascii="宋体" w:eastAsia="宋体" w:hint="eastAsia"/>
                <w:b/>
                <w:bCs/>
                <w:color w:val="000000"/>
                <w:sz w:val="20"/>
                <w:szCs w:val="20"/>
              </w:rPr>
              <w:t>计</w:t>
            </w:r>
          </w:p>
        </w:tc>
        <w:tc>
          <w:tcPr>
            <w:tcW w:w="401" w:type="pct"/>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722.81</w:t>
            </w:r>
          </w:p>
        </w:tc>
        <w:tc>
          <w:tcPr>
            <w:tcW w:w="398"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722.81</w:t>
            </w:r>
          </w:p>
        </w:tc>
        <w:tc>
          <w:tcPr>
            <w:tcW w:w="348" w:type="pct"/>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712.69</w:t>
            </w:r>
          </w:p>
        </w:tc>
        <w:tc>
          <w:tcPr>
            <w:tcW w:w="329"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614.22</w:t>
            </w:r>
          </w:p>
        </w:tc>
        <w:tc>
          <w:tcPr>
            <w:tcW w:w="335"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98.47</w:t>
            </w:r>
          </w:p>
        </w:tc>
        <w:tc>
          <w:tcPr>
            <w:tcW w:w="334"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712.69</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-10.12</w:t>
            </w:r>
          </w:p>
        </w:tc>
        <w:tc>
          <w:tcPr>
            <w:tcW w:w="370"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-1.40%</w:t>
            </w:r>
          </w:p>
        </w:tc>
        <w:tc>
          <w:tcPr>
            <w:tcW w:w="332" w:type="pct"/>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-10.12</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tcPr>
          <w:p>
            <w:pPr>
              <w:jc w:val="right"/>
              <w:rPr>
                <w:rFonts w:ascii="Times New Roman" w:eastAsia="Calibri" w:cs="Times New Roman" w:hAnsi="Times New Roman"/>
                <w:b/>
                <w:bCs/>
                <w:color w:val="000000"/>
                <w:sz w:val="20"/>
              </w:rPr>
            </w:pPr>
            <w:r>
              <w:rPr>
                <w:rFonts w:ascii="Times New Roman" w:eastAsia="Calibri" w:cs="Times New Roman" w:hAnsi="Times New Roman"/>
                <w:b/>
                <w:bCs/>
                <w:color w:val="000000"/>
                <w:sz w:val="20"/>
              </w:rPr>
              <w:t>-1.40%</w:t>
            </w:r>
          </w:p>
        </w:tc>
      </w:tr>
    </w:tbl>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tbl>
      <w:tblPr>
        <w:jc w:val="center"/>
        <w:tblW w:w="1014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72"/>
        <w:gridCol w:w="3119"/>
        <w:gridCol w:w="2126"/>
        <w:gridCol w:w="1985"/>
        <w:gridCol w:w="1842"/>
      </w:tblGrid>
      <w:tr>
        <w:trPr>
          <w:trHeight w:val="270"/>
        </w:trPr>
        <w:tc>
          <w:tcPr>
            <w:tcW w:w="1072"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bookmarkStart w:id="0" w:name="RANGE!A1:E71"/>
            <w:bookmarkEnd w:id="0"/>
          </w:p>
        </w:tc>
        <w:tc>
          <w:tcPr>
            <w:tcW w:w="311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12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985" w:type="dxa"/>
            <w:tcBorders>
              <w:top w:val="nil"/>
              <w:left w:val="nil"/>
              <w:bottom w:val="nil"/>
              <w:right w:val="nil"/>
            </w:tcBorders>
            <w:shd w:val="clear" w:color="auto" w:fill="auto"/>
            <w:noWrap/>
            <w:vAlign w:val="center"/>
          </w:tcPr>
          <w:p>
            <w:pPr>
              <w:widowControl/>
              <w:jc w:val="center"/>
              <w:rPr>
                <w:rFonts w:ascii="Times New Roman" w:eastAsia="Times New Roman" w:cs="Times New Roman" w:hAnsi="Times New Roman"/>
                <w:kern w:val="0"/>
                <w:sz w:val="20"/>
                <w:szCs w:val="20"/>
              </w:rPr>
            </w:pPr>
          </w:p>
        </w:tc>
        <w:tc>
          <w:tcPr>
            <w:tcW w:w="1842"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部门公开表6</w:t>
            </w:r>
          </w:p>
        </w:tc>
      </w:tr>
      <w:tr>
        <w:trPr>
          <w:trHeight w:val="578"/>
        </w:trPr>
        <w:tc>
          <w:tcPr>
            <w:tcW w:w="10144" w:type="dxa"/>
            <w:gridSpan w:val="5"/>
            <w:tcBorders>
              <w:top w:val="nil"/>
              <w:left w:val="nil"/>
              <w:bottom w:val="nil"/>
              <w:right w:val="nil"/>
            </w:tcBorders>
            <w:shd w:val="clear" w:color="auto" w:fill="auto"/>
            <w:noWrap/>
            <w:vAlign w:val="center"/>
          </w:tcPr>
          <w:p>
            <w:pPr>
              <w:widowControl/>
              <w:jc w:val="center"/>
              <w:rPr>
                <w:rFonts w:ascii="Times New Roman" w:cs="宋体" w:hAnsi="Times New Roman"/>
                <w:b/>
                <w:bCs/>
                <w:kern w:val="0"/>
                <w:sz w:val="36"/>
                <w:szCs w:val="36"/>
              </w:rPr>
            </w:pPr>
            <w:r>
              <w:rPr>
                <w:rFonts w:ascii="Times New Roman" w:cs="宋体" w:hAnsi="Times New Roman" w:hint="eastAsia"/>
                <w:b/>
                <w:bCs/>
                <w:kern w:val="0"/>
                <w:sz w:val="36"/>
                <w:szCs w:val="36"/>
              </w:rPr>
              <w:t>一般公共预算基本支出表</w:t>
            </w:r>
          </w:p>
        </w:tc>
      </w:tr>
      <w:tr>
        <w:trPr>
          <w:trHeight w:val="360"/>
        </w:trPr>
        <w:tc>
          <w:tcPr>
            <w:tcW w:w="1072" w:type="dxa"/>
            <w:tcBorders>
              <w:top w:val="nil"/>
              <w:left w:val="nil"/>
              <w:bottom w:val="nil"/>
              <w:right w:val="nil"/>
            </w:tcBorders>
            <w:shd w:val="clear" w:color="auto" w:fill="auto"/>
            <w:noWrap/>
            <w:vAlign w:val="center"/>
          </w:tcPr>
          <w:p>
            <w:pPr>
              <w:widowControl/>
              <w:jc w:val="center"/>
              <w:rPr>
                <w:rFonts w:ascii="Times New Roman" w:cs="宋体" w:hAnsi="Times New Roman"/>
                <w:kern w:val="0"/>
                <w:szCs w:val="36"/>
              </w:rPr>
            </w:pPr>
          </w:p>
        </w:tc>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2126"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kern w:val="0"/>
                <w:sz w:val="18"/>
                <w:szCs w:val="18"/>
              </w:rPr>
              <w:t>　</w:t>
            </w:r>
          </w:p>
        </w:tc>
        <w:tc>
          <w:tcPr>
            <w:tcW w:w="1985"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kern w:val="0"/>
                <w:sz w:val="18"/>
                <w:szCs w:val="18"/>
              </w:rPr>
              <w:t>　</w:t>
            </w:r>
          </w:p>
        </w:tc>
        <w:tc>
          <w:tcPr>
            <w:tcW w:w="1842" w:type="dxa"/>
            <w:tcBorders>
              <w:top w:val="nil"/>
              <w:left w:val="nil"/>
              <w:bottom w:val="nil"/>
              <w:right w:val="nil"/>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单位：万元</w:t>
            </w:r>
          </w:p>
        </w:tc>
      </w:tr>
      <w:tr>
        <w:trPr>
          <w:trHeight w:val="360"/>
        </w:trPr>
        <w:tc>
          <w:tcPr>
            <w:tcW w:w="41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0"/>
                <w:szCs w:val="20"/>
              </w:rPr>
            </w:pPr>
            <w:r>
              <w:rPr>
                <w:rFonts w:ascii="宋体" w:eastAsia="宋体" w:cs="宋体" w:hint="eastAsia"/>
                <w:kern w:val="0"/>
                <w:sz w:val="20"/>
                <w:szCs w:val="20"/>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eastAsia="宋体" w:cs="Times New Roman"/>
                <w:kern w:val="0"/>
                <w:sz w:val="20"/>
                <w:szCs w:val="20"/>
              </w:rPr>
            </w:pPr>
            <w:r>
              <w:rPr>
                <w:rFonts w:ascii="宋体" w:eastAsia="宋体" w:cs="Times New Roman" w:hint="eastAsia"/>
                <w:kern w:val="0"/>
                <w:sz w:val="20"/>
                <w:szCs w:val="20"/>
              </w:rPr>
              <w:t>本年一般公共预算基本支出</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0"/>
                <w:szCs w:val="20"/>
              </w:rPr>
            </w:pPr>
            <w:r>
              <w:rPr>
                <w:rFonts w:ascii="宋体" w:eastAsia="宋体" w:cs="宋体" w:hint="eastAsia"/>
                <w:kern w:val="0"/>
                <w:sz w:val="20"/>
                <w:szCs w:val="20"/>
              </w:rPr>
              <w:t>科目代码</w:t>
            </w: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0"/>
                <w:szCs w:val="20"/>
              </w:rPr>
            </w:pPr>
            <w:r>
              <w:rPr>
                <w:rFonts w:ascii="宋体" w:eastAsia="宋体" w:cs="宋体" w:hint="eastAsia"/>
                <w:kern w:val="0"/>
                <w:sz w:val="20"/>
                <w:szCs w:val="20"/>
              </w:rPr>
              <w:t>科目名称</w:t>
            </w:r>
          </w:p>
        </w:tc>
        <w:tc>
          <w:tcPr>
            <w:tcW w:w="2126"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Times New Roman"/>
                <w:kern w:val="0"/>
                <w:sz w:val="20"/>
                <w:szCs w:val="20"/>
              </w:rPr>
            </w:pPr>
            <w:r>
              <w:rPr>
                <w:rFonts w:ascii="宋体" w:eastAsia="宋体" w:cs="Times New Roman" w:hint="eastAsia"/>
                <w:kern w:val="0"/>
                <w:sz w:val="20"/>
                <w:szCs w:val="20"/>
              </w:rPr>
              <w:t>合计</w:t>
            </w:r>
          </w:p>
        </w:tc>
        <w:tc>
          <w:tcPr>
            <w:tcW w:w="1985"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Times New Roman"/>
                <w:kern w:val="0"/>
                <w:sz w:val="20"/>
                <w:szCs w:val="20"/>
              </w:rPr>
            </w:pPr>
            <w:r>
              <w:rPr>
                <w:rFonts w:ascii="宋体" w:eastAsia="宋体" w:cs="Times New Roman" w:hint="eastAsia"/>
                <w:kern w:val="0"/>
                <w:sz w:val="20"/>
                <w:szCs w:val="20"/>
              </w:rPr>
              <w:t>人员经费</w:t>
            </w:r>
          </w:p>
        </w:tc>
        <w:tc>
          <w:tcPr>
            <w:tcW w:w="1842"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Times New Roman"/>
                <w:kern w:val="0"/>
                <w:sz w:val="20"/>
                <w:szCs w:val="20"/>
              </w:rPr>
            </w:pPr>
            <w:r>
              <w:rPr>
                <w:rFonts w:ascii="宋体" w:eastAsia="宋体" w:cs="Times New Roman" w:hint="eastAsia"/>
                <w:kern w:val="0"/>
                <w:sz w:val="20"/>
                <w:szCs w:val="20"/>
              </w:rPr>
              <w:t>公用经费</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301</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b/>
                <w:bCs/>
                <w:color w:val="000000"/>
                <w:sz w:val="20"/>
                <w:szCs w:val="20"/>
              </w:rPr>
            </w:pPr>
            <w:r>
              <w:rPr>
                <w:rFonts w:hint="eastAsia"/>
                <w:b/>
                <w:bCs/>
                <w:color w:val="000000"/>
                <w:sz w:val="20"/>
                <w:szCs w:val="20"/>
              </w:rPr>
              <w:t>工资福利支出</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470.72</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470.72</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30101</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基本工资</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115.00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115.00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30102</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津贴补贴</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157.70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157.70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30103</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奖金</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26.68</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26.68</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30108</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42.11</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42.11</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30109</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职业年金缴费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24.13</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24.13</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30110</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16.71</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16.71</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30111</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2.82</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2.82</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30112</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0.37</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0.37</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30113</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住房公积金</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33.60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33.60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30199</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51.60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51.60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302</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b/>
                <w:bCs/>
                <w:color w:val="000000"/>
                <w:sz w:val="20"/>
                <w:szCs w:val="20"/>
              </w:rPr>
            </w:pPr>
            <w:r>
              <w:rPr>
                <w:rFonts w:hint="eastAsia"/>
                <w:b/>
                <w:bCs/>
                <w:color w:val="000000"/>
                <w:sz w:val="20"/>
                <w:szCs w:val="20"/>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124.51</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124.51</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30201</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办公费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8.00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8.00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30205</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水费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6.00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6.00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30206</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电费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30207</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邮电费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16.00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16.00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30209</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物业管理费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22.84</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22.84</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30211</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差旅费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1.72</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1.72</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30213</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维修（护）费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30217</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公务接待费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0.20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0.20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30226</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劳务费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w:t>
            </w:r>
          </w:p>
        </w:tc>
      </w:tr>
      <w:tr>
        <w:trPr>
          <w:trHeight w:val="359"/>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eastAsia="宋体" w:cs="Times New Roman" w:hAnsi="Times New Roman"/>
                <w:sz w:val="20"/>
                <w:szCs w:val="20"/>
              </w:rPr>
            </w:pPr>
            <w:r>
              <w:rPr>
                <w:rFonts w:ascii="Times New Roman" w:eastAsia="宋体" w:cs="Times New Roman" w:hAnsi="Times New Roman"/>
                <w:sz w:val="20"/>
                <w:szCs w:val="20"/>
              </w:rPr>
              <w:t>30227</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cs="宋体"/>
                <w:sz w:val="20"/>
                <w:szCs w:val="20"/>
              </w:rPr>
            </w:pPr>
            <w:r>
              <w:rPr>
                <w:rFonts w:ascii="宋体" w:eastAsia="宋体" w:cs="宋体"/>
                <w:sz w:val="20"/>
                <w:szCs w:val="20"/>
              </w:rPr>
              <w:t>委托业务费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1.50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1.50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30228</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工会经费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pStyle w:val="30"/>
              <w:rPr>
                <w:rFonts w:ascii="Times New Roman" w:cs="Times New Roman" w:hAnsi="Times New Roman"/>
                <w:color w:val="000000"/>
                <w:sz w:val="20"/>
                <w:szCs w:val="20"/>
              </w:rPr>
            </w:pPr>
            <w:r>
              <w:rPr>
                <w:rFonts w:ascii="Times New Roman" w:cs="Times New Roman" w:hAnsi="Times New Roman"/>
                <w:color w:val="000000"/>
                <w:sz w:val="20"/>
                <w:szCs w:val="20"/>
              </w:rPr>
              <w:t>30231</w:t>
            </w:r>
          </w:p>
        </w:tc>
        <w:tc>
          <w:tcPr>
            <w:tcW w:w="3119" w:type="dxa"/>
            <w:tcBorders>
              <w:top w:val="nil"/>
              <w:left w:val="nil"/>
              <w:bottom w:val="single" w:sz="4" w:space="0" w:color="auto"/>
              <w:right w:val="single" w:sz="4" w:space="0" w:color="auto"/>
            </w:tcBorders>
            <w:shd w:val="clear" w:color="auto" w:fill="auto"/>
            <w:noWrap/>
            <w:vAlign w:val="center"/>
          </w:tcPr>
          <w:p>
            <w:pPr>
              <w:pStyle w:val="31"/>
              <w:rPr>
                <w:rFonts w:ascii="宋体" w:cs="宋体"/>
                <w:color w:val="000000"/>
                <w:sz w:val="20"/>
                <w:szCs w:val="20"/>
              </w:rPr>
            </w:pPr>
            <w:r>
              <w:rPr>
                <w:rFonts w:hint="eastAsia"/>
                <w:color w:val="000000"/>
                <w:sz w:val="20"/>
                <w:szCs w:val="20"/>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3.28</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3.28</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eastAsia="宋体" w:cs="Times New Roman" w:hAnsi="Times New Roman"/>
                <w:sz w:val="20"/>
                <w:szCs w:val="20"/>
              </w:rPr>
            </w:pPr>
            <w:r>
              <w:rPr>
                <w:rFonts w:ascii="Times New Roman" w:eastAsia="宋体" w:cs="Times New Roman" w:hAnsi="Times New Roman"/>
                <w:sz w:val="20"/>
                <w:szCs w:val="20"/>
              </w:rPr>
              <w:t>30239</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cs="宋体"/>
                <w:sz w:val="20"/>
                <w:szCs w:val="20"/>
              </w:rPr>
            </w:pPr>
            <w:r>
              <w:rPr>
                <w:rFonts w:ascii="宋体" w:eastAsia="宋体" w:cs="宋体"/>
                <w:sz w:val="20"/>
                <w:szCs w:val="20"/>
              </w:rPr>
              <w:t>其他交通费用</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20.00</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30299</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1.97</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1.97</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b/>
                <w:bCs/>
                <w:color w:val="000000"/>
                <w:sz w:val="20"/>
                <w:szCs w:val="20"/>
              </w:rPr>
            </w:pPr>
            <w:r>
              <w:rPr>
                <w:rFonts w:ascii="Times New Roman" w:cs="Times New Roman" w:hAnsi="Times New Roman"/>
                <w:b/>
                <w:bCs/>
                <w:color w:val="000000"/>
                <w:sz w:val="20"/>
                <w:szCs w:val="20"/>
              </w:rPr>
              <w:t>310</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b/>
                <w:bCs/>
                <w:color w:val="000000"/>
                <w:sz w:val="20"/>
                <w:szCs w:val="20"/>
              </w:rPr>
            </w:pPr>
            <w:r>
              <w:rPr>
                <w:rFonts w:hint="eastAsia"/>
                <w:b/>
                <w:bCs/>
                <w:color w:val="000000"/>
                <w:sz w:val="20"/>
                <w:szCs w:val="20"/>
              </w:rPr>
              <w:t>资本性支出</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18.99</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18.99</w:t>
            </w:r>
          </w:p>
        </w:tc>
      </w:tr>
      <w:tr>
        <w:trPr>
          <w:trHeight w:val="360"/>
        </w:trPr>
        <w:tc>
          <w:tcPr>
            <w:tcW w:w="1072" w:type="dxa"/>
            <w:tcBorders>
              <w:top w:val="nil"/>
              <w:left w:val="single" w:sz="4" w:space="0" w:color="auto"/>
              <w:bottom w:val="single" w:sz="4" w:space="0" w:color="auto"/>
              <w:right w:val="single" w:sz="4" w:space="0" w:color="auto"/>
            </w:tcBorders>
            <w:shd w:val="clear" w:color="auto" w:fill="auto"/>
            <w:noWrap/>
            <w:vAlign w:val="center"/>
          </w:tcPr>
          <w:p>
            <w:pPr>
              <w:rPr>
                <w:rFonts w:ascii="Times New Roman" w:cs="Times New Roman" w:hAnsi="Times New Roman"/>
                <w:color w:val="000000"/>
                <w:sz w:val="20"/>
                <w:szCs w:val="20"/>
              </w:rPr>
            </w:pPr>
            <w:r>
              <w:rPr>
                <w:rFonts w:ascii="Times New Roman" w:cs="Times New Roman" w:hAnsi="Times New Roman"/>
                <w:color w:val="000000"/>
                <w:sz w:val="20"/>
                <w:szCs w:val="20"/>
              </w:rPr>
              <w:t>31002</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cs="宋体"/>
                <w:color w:val="000000"/>
                <w:sz w:val="20"/>
                <w:szCs w:val="20"/>
              </w:rPr>
            </w:pPr>
            <w:r>
              <w:rPr>
                <w:rFonts w:hint="eastAsia"/>
                <w:color w:val="000000"/>
                <w:sz w:val="20"/>
                <w:szCs w:val="20"/>
              </w:rPr>
              <w:t>办公设备购置</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18.99</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sz w:val="20"/>
                <w:szCs w:val="20"/>
              </w:rPr>
            </w:pPr>
            <w:r>
              <w:rPr>
                <w:rFonts w:ascii="Times New Roman" w:eastAsia="宋体" w:cs="Times New Roman" w:hAnsi="Times New Roman"/>
                <w:sz w:val="20"/>
                <w:szCs w:val="20"/>
              </w:rPr>
              <w:t>18.99</w:t>
            </w:r>
          </w:p>
        </w:tc>
      </w:tr>
      <w:tr>
        <w:trPr>
          <w:trHeight w:val="360"/>
        </w:trPr>
        <w:tc>
          <w:tcPr>
            <w:tcW w:w="4191"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b/>
                <w:bCs/>
                <w:kern w:val="0"/>
                <w:sz w:val="20"/>
                <w:szCs w:val="20"/>
              </w:rPr>
            </w:pPr>
            <w:r>
              <w:rPr>
                <w:rFonts w:ascii="宋体" w:eastAsia="宋体" w:cs="宋体" w:hint="eastAsia"/>
                <w:b/>
                <w:bCs/>
                <w:kern w:val="0"/>
                <w:sz w:val="20"/>
                <w:szCs w:val="20"/>
              </w:rPr>
              <w:t>合</w:t>
            </w:r>
            <w:r>
              <w:rPr>
                <w:rFonts w:ascii="宋体" w:eastAsia="宋体" w:cs="宋体"/>
                <w:b/>
                <w:bCs/>
                <w:kern w:val="0"/>
                <w:sz w:val="20"/>
                <w:szCs w:val="20"/>
              </w:rPr>
              <w:t xml:space="preserve">  </w:t>
            </w:r>
            <w:r>
              <w:rPr>
                <w:rFonts w:ascii="宋体" w:eastAsia="宋体" w:cs="宋体" w:hint="eastAsia"/>
                <w:b/>
                <w:bCs/>
                <w:kern w:val="0"/>
                <w:sz w:val="20"/>
                <w:szCs w:val="20"/>
              </w:rPr>
              <w:t>计</w:t>
            </w:r>
          </w:p>
        </w:tc>
        <w:tc>
          <w:tcPr>
            <w:tcW w:w="212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614.22</w:t>
            </w:r>
          </w:p>
        </w:tc>
        <w:tc>
          <w:tcPr>
            <w:tcW w:w="1985"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470.72</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Times New Roman" w:eastAsia="宋体" w:cs="Times New Roman" w:hAnsi="Times New Roman"/>
                <w:b/>
                <w:i w:val="0"/>
                <w:sz w:val="20"/>
                <w:szCs w:val="20"/>
              </w:rPr>
            </w:pPr>
            <w:r>
              <w:rPr>
                <w:rFonts w:ascii="Times New Roman" w:eastAsia="宋体" w:cs="Times New Roman" w:hAnsi="Times New Roman"/>
                <w:b/>
                <w:i w:val="0"/>
                <w:sz w:val="20"/>
                <w:szCs w:val="20"/>
              </w:rPr>
              <w:t>143.50</w:t>
            </w:r>
          </w:p>
        </w:tc>
      </w:tr>
    </w:tbl>
    <w:p>
      <w:pPr>
        <w:jc w:val="center"/>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宋体" w:hAnsi="Times New Roman"/>
                <w:b/>
                <w:bCs/>
                <w:kern w:val="0"/>
                <w:sz w:val="36"/>
                <w:szCs w:val="36"/>
              </w:rPr>
            </w:pPr>
            <w:r>
              <w:rPr>
                <w:rFonts w:ascii="Times New Roman" w:cs="宋体" w:hAnsi="Times New Roman" w:hint="eastAsia"/>
                <w:b/>
                <w:bCs/>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p>
        </w:tc>
        <w:tc>
          <w:tcPr>
            <w:tcW w:w="340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2026年政府性基金预算支出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4"/>
                <w:szCs w:val="24"/>
              </w:rPr>
            </w:pPr>
            <w:r>
              <w:rPr>
                <w:rFonts w:ascii="Times New Roman" w:cs="宋体" w:hAnsi="Times New Roman" w:hint="eastAsia"/>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宋体" w:hAnsi="Times New Roman"/>
                <w:kern w:val="0"/>
                <w:sz w:val="24"/>
                <w:szCs w:val="24"/>
              </w:rPr>
            </w:pPr>
            <w:r>
              <w:rPr>
                <w:rFonts w:ascii="Times New Roman" w:cs="宋体" w:hAnsi="Times New Roman" w:hint="eastAsia"/>
                <w:kern w:val="0"/>
                <w:sz w:val="24"/>
                <w:szCs w:val="24"/>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4"/>
                <w:szCs w:val="24"/>
              </w:rPr>
            </w:pPr>
            <w:r>
              <w:rPr>
                <w:rFonts w:ascii="Times New Roman" w:cs="宋体" w:hAnsi="Times New Roman" w:hint="eastAsia"/>
                <w:kern w:val="0"/>
                <w:sz w:val="24"/>
                <w:szCs w:val="24"/>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武夷山海关</w:t>
      </w:r>
      <w:r>
        <w:rPr>
          <w:rFonts w:ascii="Times New Roman" w:eastAsia="方正仿宋_GBK" w:cs="Times New Roman" w:hAnsi="Times New Roman"/>
          <w:sz w:val="24"/>
          <w:szCs w:val="24"/>
        </w:rPr>
        <w:t>无</w:t>
      </w:r>
      <w:r>
        <w:rPr>
          <w:rFonts w:ascii="Times New Roman" w:eastAsia="方正仿宋_GBK" w:cs="Times New Roman" w:hAnsi="Times New Roman" w:hint="eastAsia"/>
          <w:sz w:val="24"/>
          <w:szCs w:val="24"/>
        </w:rPr>
        <w:t>政府性基金预算拨款收入，也无使用政府性基金安排的支出，故本表无数据。</w:t>
      </w:r>
    </w:p>
    <w:p>
      <w:pPr>
        <w:rPr>
          <w:rFonts w:ascii="Times New Roman" w:eastAsia="方正仿宋_GBK"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p>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宋体" w:hAnsi="Times New Roman"/>
                <w:b/>
                <w:bCs/>
                <w:kern w:val="0"/>
                <w:sz w:val="36"/>
                <w:szCs w:val="36"/>
              </w:rPr>
            </w:pPr>
            <w:r>
              <w:rPr>
                <w:rFonts w:ascii="Times New Roman" w:cs="宋体" w:hAnsi="Times New Roman" w:hint="eastAsia"/>
                <w:b/>
                <w:bCs/>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2026年国有资本经营预算支出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武夷山海关</w:t>
      </w:r>
      <w:r>
        <w:rPr>
          <w:rFonts w:ascii="Times New Roman" w:eastAsia="方正仿宋_GBK" w:cs="Times New Roman" w:hAnsi="Times New Roman"/>
          <w:sz w:val="24"/>
          <w:szCs w:val="24"/>
        </w:rPr>
        <w:t>无</w:t>
      </w:r>
      <w:r>
        <w:rPr>
          <w:rFonts w:ascii="Times New Roman" w:eastAsia="方正仿宋_GBK" w:cs="Times New Roman" w:hAnsi="Times New Roman" w:hint="eastAsia"/>
          <w:sz w:val="24"/>
          <w:szCs w:val="24"/>
        </w:rPr>
        <w:t>国有资本经营</w:t>
      </w:r>
      <w:r>
        <w:rPr>
          <w:rFonts w:ascii="Times New Roman" w:eastAsia="方正仿宋_GBK" w:cs="Times New Roman" w:hAnsi="Times New Roman"/>
          <w:sz w:val="24"/>
          <w:szCs w:val="24"/>
        </w:rPr>
        <w:t>预算</w:t>
      </w:r>
      <w:r>
        <w:rPr>
          <w:rFonts w:ascii="Times New Roman" w:eastAsia="方正仿宋_GBK" w:cs="Times New Roman" w:hAnsi="Times New Roman" w:hint="eastAsia"/>
          <w:sz w:val="24"/>
          <w:szCs w:val="24"/>
        </w:rPr>
        <w:t>收入，也无国有资本经营预算安排的支出，故本表无数据。</w:t>
      </w:r>
    </w:p>
    <w:tbl>
      <w:tblPr>
        <w:tblpPr w:leftFromText="180" w:rightFromText="180" w:horzAnchor="margin" w:tblpXSpec="center" w:tblpY="405"/>
        <w:tblW w:w="3588" w:type="pct"/>
        <w:tblBorders>
          <w:top w:val="single" w:sz="4" w:space="0" w:color="auto"/>
          <w:left w:val="single" w:sz="4" w:space="0" w:color="auto"/>
          <w:bottom w:val="single" w:sz="4" w:space="0" w:color="auto"/>
          <w:right w:val="single" w:sz="4" w:space="0" w:color="auto"/>
        </w:tblBorders>
        <w:tblLayout w:type="fixed"/>
        <w:tblCellMar>
          <w:top w:w="0" w:type="dxa"/>
          <w:left w:w="108" w:type="dxa"/>
          <w:bottom w:w="0" w:type="dxa"/>
          <w:right w:w="108" w:type="dxa"/>
        </w:tblCellMar>
      </w:tblPr>
      <w:tblGrid>
        <w:gridCol w:w="883"/>
        <w:gridCol w:w="1837"/>
        <w:gridCol w:w="716"/>
        <w:gridCol w:w="2274"/>
        <w:gridCol w:w="2415"/>
        <w:gridCol w:w="2046"/>
      </w:tblGrid>
      <w:tr>
        <w:trPr>
          <w:trHeight w:val="327"/>
        </w:trPr>
        <w:tc>
          <w:tcPr>
            <w:tcW w:w="5000" w:type="pct"/>
            <w:gridSpan w:val="6"/>
            <w:tcBorders>
              <w:top w:val="nil"/>
              <w:left w:val="nil"/>
              <w:bottom w:val="single" w:sz="4" w:space="0" w:color="auto"/>
              <w:right w:val="nil"/>
              <w:tl2br w:val="nil"/>
              <w:tr2bl w:val="nil"/>
            </w:tcBorders>
            <w:shd w:val="clear" w:color="auto" w:fill="auto"/>
            <w:noWrap/>
            <w:vAlign w:val="center"/>
          </w:tcPr>
          <w:p>
            <w:pPr>
              <w:pStyle w:val="109"/>
              <w:widowControl/>
              <w:pBdr>
                <w:top w:val="none" w:sz="0" w:space="0" w:color="auto"/>
                <w:left w:val="single" w:sz="4" w:space="4" w:color="auto"/>
                <w:bottom w:val="none" w:sz="0" w:space="0" w:color="auto"/>
                <w:right w:val="none" w:sz="0" w:space="0" w:color="auto"/>
                <w:between w:val="none" w:sz="0" w:space="0" w:color="auto"/>
              </w:pBdr>
              <w:jc w:val="center"/>
              <w:rPr>
                <w:rFonts w:ascii="宋体" w:cs="宋体" w:hint="eastAsia"/>
                <w:b/>
                <w:bCs/>
                <w:kern w:val="0"/>
                <w:sz w:val="36"/>
                <w:szCs w:val="36"/>
              </w:rPr>
            </w:pPr>
            <w:r>
              <w:rPr>
                <w:rFonts w:ascii="宋体" w:cs="Microsoft JhengHei" w:hint="eastAsia"/>
                <w:b/>
                <w:bCs/>
                <w:snapToGrid w:val="0"/>
                <w:color w:val="000000"/>
                <w:sz w:val="36"/>
                <w:szCs w:val="36"/>
              </w:rPr>
              <w:t>财政拨款预算“三公”经费支出表</w:t>
            </w:r>
          </w:p>
          <w:p>
            <w:pPr>
              <w:pStyle w:val="114"/>
              <w:widowControl/>
              <w:pBdr>
                <w:top w:val="none" w:sz="0" w:space="0" w:color="auto"/>
                <w:left w:val="single" w:sz="4" w:space="4" w:color="auto"/>
                <w:bottom w:val="none" w:sz="0" w:space="0" w:color="auto"/>
                <w:right w:val="none" w:sz="0" w:space="0" w:color="auto"/>
                <w:between w:val="none" w:sz="0" w:space="0" w:color="auto"/>
              </w:pBdr>
              <w:jc w:val="righ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649"/>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2026年预算数</w:t>
            </w:r>
          </w:p>
        </w:tc>
      </w:tr>
      <w:tr>
        <w:trPr>
          <w:trHeight w:val="750"/>
        </w:trPr>
        <w:tc>
          <w:tcPr>
            <w:tcW w:w="43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90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因公出国（境）费</w:t>
            </w:r>
          </w:p>
        </w:tc>
        <w:tc>
          <w:tcPr>
            <w:tcW w:w="26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公务用车购置及运行费</w:t>
            </w:r>
          </w:p>
        </w:tc>
        <w:tc>
          <w:tcPr>
            <w:tcW w:w="100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pPr>
              <w:pStyle w:val="115"/>
              <w:widowControl/>
              <w:jc w:val="center"/>
              <w:rPr>
                <w:rFonts w:ascii="Times New Roman" w:cs="宋体" w:hAnsi="Times New Roman"/>
                <w:kern w:val="0"/>
                <w:sz w:val="20"/>
                <w:szCs w:val="20"/>
              </w:rPr>
            </w:pPr>
            <w:r>
              <w:rPr>
                <w:rFonts w:ascii="Times New Roman" w:cs="宋体" w:hAnsi="Times New Roman" w:hint="eastAsia"/>
                <w:kern w:val="0"/>
                <w:sz w:val="20"/>
                <w:szCs w:val="20"/>
              </w:rPr>
              <w:t>公务接待费</w:t>
            </w:r>
          </w:p>
        </w:tc>
      </w:tr>
      <w:tr>
        <w:trPr>
          <w:trHeight w:val="660"/>
        </w:trPr>
        <w:tc>
          <w:tcPr>
            <w:tcW w:w="439" w:type="pct"/>
            <w:vMerge/>
            <w:tcBorders>
              <w:top w:val="single" w:sz="4" w:space="0" w:color="auto"/>
              <w:left w:val="single" w:sz="4" w:space="0" w:color="auto"/>
              <w:bottom w:val="single" w:sz="4" w:space="0" w:color="auto"/>
              <w:right w:val="single" w:sz="4" w:space="0" w:color="auto"/>
            </w:tcBorders>
            <w:vAlign w:val="center"/>
          </w:tcPr>
          <w:p/>
        </w:tc>
        <w:tc>
          <w:tcPr>
            <w:tcW w:w="380" w:type="pct"/>
            <w:vMerge/>
            <w:tcBorders>
              <w:top w:val="single" w:sz="4" w:space="0" w:color="auto"/>
              <w:left w:val="single" w:sz="4" w:space="0" w:color="auto"/>
              <w:bottom w:val="single" w:sz="4" w:space="0" w:color="auto"/>
              <w:right w:val="single" w:sz="4" w:space="0" w:color="auto"/>
            </w:tcBorders>
            <w:vAlign w:val="center"/>
          </w:tc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小计</w:t>
            </w:r>
          </w:p>
        </w:tc>
        <w:tc>
          <w:tcPr>
            <w:tcW w:w="1118" w:type="pc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公务用车购置费</w:t>
            </w:r>
          </w:p>
        </w:tc>
        <w:tc>
          <w:tcPr>
            <w:tcW w:w="1186" w:type="pc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公务用车运行费</w:t>
            </w:r>
          </w:p>
        </w:tc>
        <w:tc>
          <w:tcPr>
            <w:tcW w:w="2936" w:type="pct"/>
            <w:vMerge/>
            <w:tcBorders>
              <w:top w:val="single" w:sz="4" w:space="0" w:color="auto"/>
              <w:left w:val="single" w:sz="4" w:space="0" w:color="auto"/>
              <w:bottom w:val="single" w:sz="4" w:space="0" w:color="auto"/>
              <w:right w:val="single" w:sz="4" w:space="0" w:color="auto"/>
            </w:tcBorders>
            <w:shd w:val="clear" w:color="auto" w:fill="auto"/>
            <w:vAlign w:val="center"/>
          </w:tcPr>
          <w:p/>
        </w:tc>
      </w:tr>
      <w:tr>
        <w:trPr>
          <w:trHeight w:val="806"/>
        </w:trPr>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微软雅黑" w:eastAsia="微软雅黑" w:cs="宋体"/>
                <w:sz w:val="20"/>
              </w:rPr>
            </w:pPr>
            <w:r>
              <w:rPr>
                <w:rFonts w:ascii="微软雅黑" w:eastAsia="微软雅黑" w:cs="宋体"/>
                <w:sz w:val="20"/>
              </w:rPr>
              <w:t>37.48</w:t>
            </w:r>
          </w:p>
        </w:tc>
        <w:tc>
          <w:tcPr>
            <w:tcW w:w="903"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Arial" w:eastAsia="Arial" w:cs="宋体" w:hAnsi="Arial"/>
                <w:sz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Arial" w:eastAsia="Arial" w:cs="宋体" w:hAnsi="Arial"/>
                <w:sz w:val="20"/>
              </w:rPr>
            </w:pPr>
            <w:r>
              <w:rPr>
                <w:rFonts w:ascii="Arial" w:eastAsia="Arial" w:cs="宋体" w:hAnsi="Arial"/>
                <w:sz w:val="20"/>
              </w:rPr>
              <w:t>37.28</w:t>
            </w:r>
          </w:p>
        </w:tc>
        <w:tc>
          <w:tcPr>
            <w:tcW w:w="1118"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Arial" w:eastAsia="Arial" w:cs="宋体" w:hAnsi="Arial"/>
                <w:sz w:val="20"/>
              </w:rPr>
            </w:pPr>
            <w:r>
              <w:rPr>
                <w:rFonts w:ascii="Arial" w:eastAsia="Arial" w:cs="宋体" w:hAnsi="Arial"/>
                <w:sz w:val="20"/>
              </w:rPr>
              <w:t>18.90</w:t>
            </w:r>
          </w:p>
        </w:tc>
        <w:tc>
          <w:tcPr>
            <w:tcW w:w="1186"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微软雅黑" w:eastAsia="微软雅黑" w:cs="宋体"/>
                <w:sz w:val="20"/>
              </w:rPr>
            </w:pPr>
            <w:r>
              <w:rPr>
                <w:rFonts w:ascii="微软雅黑" w:eastAsia="微软雅黑" w:cs="宋体"/>
                <w:sz w:val="20"/>
              </w:rPr>
              <w:t>18.38</w:t>
            </w:r>
          </w:p>
        </w:tc>
        <w:tc>
          <w:tcPr>
            <w:tcW w:w="1005" w:type="pct"/>
            <w:tcBorders>
              <w:top w:val="single" w:sz="4" w:space="0" w:color="auto"/>
              <w:left w:val="single" w:sz="4" w:space="0" w:color="auto"/>
              <w:bottom w:val="single" w:sz="4" w:space="0" w:color="auto"/>
              <w:right w:val="single" w:sz="4" w:space="0" w:color="auto"/>
            </w:tcBorders>
            <w:shd w:val="clear" w:color="auto" w:fill="auto"/>
            <w:noWrap/>
            <w:vAlign w:val="center"/>
          </w:tcPr>
          <w:p>
            <w:pPr>
              <w:jc w:val="center"/>
              <w:rPr>
                <w:rFonts w:ascii="Arial" w:eastAsia="Arial" w:cs="宋体" w:hAnsi="Arial"/>
                <w:sz w:val="20"/>
              </w:rPr>
            </w:pPr>
            <w:r>
              <w:rPr>
                <w:rFonts w:ascii="Arial" w:eastAsia="Arial" w:cs="宋体" w:hAnsi="Arial"/>
                <w:sz w:val="20"/>
              </w:rPr>
              <w:t>0.20</w:t>
            </w:r>
          </w:p>
        </w:tc>
      </w:tr>
    </w:tbl>
    <w:p>
      <w:pPr>
        <w:jc w:val="right"/>
        <w:rPr>
          <w:rFonts w:ascii="黑体" w:eastAsia="黑体" w:cs="黑体"/>
          <w:snapToGrid w:val="0"/>
          <w:sz w:val="20"/>
          <w:szCs w:val="20"/>
        </w:rPr>
      </w:pPr>
      <w:r>
        <w:rPr>
          <w:rFonts w:ascii="黑体" w:eastAsia="黑体" w:cs="黑体" w:hint="eastAsia"/>
          <w:snapToGrid w:val="0"/>
          <w:sz w:val="20"/>
          <w:szCs w:val="20"/>
        </w:rPr>
        <w:t>部门公开表 9</w:t>
      </w:r>
    </w:p>
    <w:p>
      <w:pPr>
        <w:jc w:val="right"/>
        <w:rPr>
          <w:rFonts w:ascii="黑体" w:eastAsia="黑体" w:cs="黑体"/>
          <w:snapToGrid w:val="0"/>
          <w:sz w:val="20"/>
          <w:szCs w:val="20"/>
        </w:rPr>
      </w:pPr>
    </w:p>
    <w:p>
      <w:pPr>
        <w:jc w:val="right"/>
        <w:rPr>
          <w:rFonts w:ascii="黑体" w:eastAsia="黑体" w:cs="黑体"/>
          <w:snapToGrid w:val="0"/>
          <w:sz w:val="20"/>
          <w:szCs w:val="20"/>
        </w:rPr>
      </w:pPr>
    </w:p>
    <w:p>
      <w:pPr>
        <w:jc w:val="right"/>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p>
      <w:pPr>
        <w:jc w:val="center"/>
        <w:rPr>
          <w:rFonts w:ascii="Times New Roman" w:hAnsi="Times New Roman"/>
          <w:b/>
          <w:sz w:val="84"/>
          <w:szCs w:val="84"/>
        </w:rPr>
      </w:pPr>
    </w:p>
    <w:p>
      <w:pPr>
        <w:rPr>
          <w:rFonts w:ascii="Times New Roman" w:hAnsi="Times New Roman"/>
          <w:b/>
          <w:sz w:val="84"/>
          <w:szCs w:val="84"/>
        </w:rPr>
      </w:pPr>
    </w:p>
    <w:p>
      <w:pPr>
        <w:rPr>
          <w:rFonts w:ascii="Times New Roman" w:hAnsi="Times New Roman"/>
          <w:b/>
          <w:sz w:val="84"/>
          <w:szCs w:val="84"/>
        </w:rPr>
      </w:pPr>
    </w:p>
    <w:p>
      <w:pPr>
        <w:rPr>
          <w:rFonts w:ascii="Times New Roman" w:hAnsi="Times New Roman"/>
          <w:b/>
          <w:sz w:val="84"/>
          <w:szCs w:val="84"/>
        </w:rPr>
      </w:pPr>
    </w:p>
    <w:p>
      <w:pPr>
        <w:jc w:val="center"/>
        <w:rPr>
          <w:rFonts w:ascii="宋体" w:hint="eastAsia"/>
          <w:b/>
          <w:sz w:val="84"/>
          <w:szCs w:val="84"/>
        </w:rPr>
      </w:pPr>
      <w:r>
        <w:rPr>
          <w:rFonts w:ascii="宋体" w:hint="eastAsia"/>
          <w:b/>
          <w:sz w:val="84"/>
          <w:szCs w:val="84"/>
        </w:rPr>
        <w:t xml:space="preserve">第三部分  </w:t>
      </w:r>
    </w:p>
    <w:p>
      <w:pPr>
        <w:jc w:val="center"/>
        <w:rPr>
          <w:rFonts w:ascii="宋体" w:hint="eastAsia"/>
          <w:b/>
          <w:sz w:val="84"/>
          <w:szCs w:val="84"/>
        </w:rPr>
      </w:pPr>
      <w:r>
        <w:rPr>
          <w:rFonts w:ascii="宋体" w:hint="eastAsia"/>
          <w:b/>
          <w:sz w:val="84"/>
          <w:szCs w:val="84"/>
        </w:rPr>
        <w:t>武夷山海关</w:t>
      </w:r>
      <w:r>
        <w:rPr>
          <w:rFonts w:ascii="Times New Roman" w:cs="Times New Roman" w:hAnsi="Times New Roman"/>
          <w:b/>
          <w:sz w:val="84"/>
          <w:szCs w:val="84"/>
        </w:rPr>
        <w:t>2026</w:t>
      </w:r>
      <w:r>
        <w:rPr>
          <w:rFonts w:ascii="宋体" w:hint="eastAsia"/>
          <w:b/>
          <w:sz w:val="84"/>
          <w:szCs w:val="84"/>
        </w:rPr>
        <w:t>年</w:t>
      </w:r>
    </w:p>
    <w:p>
      <w:pPr>
        <w:jc w:val="center"/>
        <w:rPr>
          <w:rFonts w:ascii="宋体" w:hint="eastAsia"/>
          <w:b/>
          <w:sz w:val="84"/>
          <w:szCs w:val="84"/>
        </w:rPr>
      </w:pPr>
      <w:r>
        <w:rPr>
          <w:rFonts w:ascii="宋体" w:hint="eastAsia"/>
          <w:b/>
          <w:sz w:val="84"/>
          <w:szCs w:val="84"/>
        </w:rPr>
        <w:t>部门预算情况说明</w:t>
      </w:r>
    </w:p>
    <w:p>
      <w:pPr>
        <w:pStyle w:val="18"/>
        <w:spacing w:line="560" w:lineRule="exact"/>
        <w:rPr>
          <w:rFonts w:ascii="Times New Roman" w:hAnsi="Times New Roman"/>
          <w:b/>
          <w:sz w:val="84"/>
          <w:szCs w:val="84"/>
        </w:rPr>
      </w:pPr>
      <w:r>
        <w:rPr>
          <w:b/>
          <w:sz w:val="84"/>
          <w:szCs w:val="84"/>
        </w:rPr>
        <w:t xml:space="preserve"> </w:t>
      </w:r>
      <w:r>
        <w:rPr>
          <w:rFonts w:ascii="Times New Roman" w:hAnsi="Times New Roman"/>
          <w:b/>
          <w:sz w:val="84"/>
          <w:szCs w:val="84"/>
        </w:rPr>
        <w:t xml:space="preserve">  </w:t>
      </w:r>
    </w:p>
    <w:p>
      <w:pPr>
        <w:rPr>
          <w:rFonts w:ascii="Times New Roman" w:hAnsi="Times New Roman"/>
          <w:b/>
          <w:sz w:val="84"/>
          <w:szCs w:val="84"/>
        </w:rPr>
        <w:sectPr>
          <w:pgSz w:w="11906" w:h="16838"/>
          <w:pgMar w:top="1440" w:right="1800" w:bottom="1440" w:left="1800" w:header="851" w:footer="992" w:gutter="0"/>
          <w:docGrid w:type="lines" w:linePitch="312" w:charSpace="0"/>
        </w:sectPr>
      </w:pPr>
      <w:r>
        <w:rPr>
          <w:rFonts w:ascii="Times New Roman" w:hAnsi="Times New Roman"/>
          <w:b/>
          <w:sz w:val="84"/>
          <w:szCs w:val="84"/>
        </w:rPr>
        <w:t xml:space="preserve"> </w:t>
      </w:r>
    </w:p>
    <w:p>
      <w:pPr>
        <w:pStyle w:val="18"/>
        <w:spacing w:line="560" w:lineRule="exact"/>
        <w:rPr>
          <w:rFonts w:eastAsia="方正仿宋_GBK"/>
          <w:sz w:val="32"/>
          <w:szCs w:val="32"/>
        </w:rPr>
      </w:pPr>
      <w:r>
        <w:rPr>
          <w:rFonts w:eastAsia="方正黑体_GBK"/>
          <w:sz w:val="32"/>
          <w:szCs w:val="32"/>
        </w:rPr>
        <w:t>一、关于</w:t>
      </w:r>
      <w:r>
        <w:rPr>
          <w:rFonts w:eastAsia="方正黑体_GBK" w:hint="eastAsia"/>
          <w:sz w:val="32"/>
          <w:szCs w:val="32"/>
        </w:rPr>
        <w:t>武夷山</w:t>
      </w:r>
      <w:r>
        <w:rPr>
          <w:rFonts w:eastAsia="方正黑体_GBK"/>
          <w:sz w:val="32"/>
          <w:szCs w:val="32"/>
        </w:rPr>
        <w:t>海关2026年收支预算情况的总体说明</w:t>
      </w:r>
    </w:p>
    <w:p>
      <w:pPr>
        <w:pStyle w:val="18"/>
        <w:spacing w:line="560" w:lineRule="exact"/>
        <w:ind w:firstLineChars="200" w:firstLine="640"/>
        <w:rPr>
          <w:rFonts w:eastAsia="方正仿宋_GBK"/>
          <w:sz w:val="32"/>
          <w:szCs w:val="32"/>
        </w:rPr>
      </w:pPr>
      <w:r>
        <w:rPr>
          <w:rFonts w:eastAsia="方正仿宋_GBK"/>
          <w:sz w:val="32"/>
          <w:szCs w:val="32"/>
        </w:rPr>
        <w:t>按照综合预算的原则，</w:t>
      </w:r>
      <w:r>
        <w:rPr>
          <w:rFonts w:eastAsia="方正仿宋_GBK" w:hint="eastAsia"/>
          <w:sz w:val="32"/>
          <w:szCs w:val="32"/>
        </w:rPr>
        <w:t>武夷山</w:t>
      </w:r>
      <w:r>
        <w:rPr>
          <w:rFonts w:eastAsia="方正仿宋_GBK"/>
          <w:sz w:val="32"/>
          <w:szCs w:val="32"/>
        </w:rPr>
        <w:t>海关所有收入和支出均纳入部门预算管理。收入包括：一般公共预算拨款收入、其他收入、上年结转；支出包括：一般公共服务支出、社会保障和就业支出、卫生健康支出、住房保障支出。</w:t>
      </w:r>
      <w:r>
        <w:rPr>
          <w:rFonts w:eastAsia="方正仿宋_GBK" w:hint="eastAsia"/>
          <w:sz w:val="32"/>
          <w:szCs w:val="32"/>
        </w:rPr>
        <w:t>武夷山海关</w:t>
      </w:r>
      <w:r>
        <w:rPr>
          <w:rFonts w:eastAsia="方正仿宋_GBK"/>
          <w:sz w:val="32"/>
          <w:szCs w:val="32"/>
        </w:rPr>
        <w:t>2026</w:t>
      </w:r>
      <w:r>
        <w:rPr>
          <w:rFonts w:eastAsia="方正仿宋_GBK" w:hint="eastAsia"/>
          <w:sz w:val="32"/>
          <w:szCs w:val="32"/>
        </w:rPr>
        <w:t>年收入总预算</w:t>
      </w:r>
      <w:r>
        <w:rPr>
          <w:rFonts w:eastAsia="方正仿宋_GBK"/>
          <w:sz w:val="32"/>
          <w:szCs w:val="32"/>
        </w:rPr>
        <w:t>929.24万元</w:t>
      </w:r>
      <w:r>
        <w:rPr>
          <w:rFonts w:eastAsia="方正仿宋_GBK" w:hint="eastAsia"/>
          <w:sz w:val="32"/>
          <w:szCs w:val="32"/>
        </w:rPr>
        <w:t>，支出总预算</w:t>
      </w:r>
      <w:r>
        <w:rPr>
          <w:rFonts w:eastAsia="方正仿宋_GBK"/>
          <w:sz w:val="32"/>
          <w:szCs w:val="32"/>
        </w:rPr>
        <w:t>929.24</w:t>
      </w:r>
      <w:r>
        <w:rPr>
          <w:rFonts w:eastAsia="方正仿宋_GBK" w:hint="eastAsia"/>
          <w:sz w:val="32"/>
          <w:szCs w:val="32"/>
        </w:rPr>
        <w:t>万元</w:t>
      </w:r>
      <w:r>
        <w:rPr>
          <w:rFonts w:eastAsia="方正仿宋_GBK"/>
          <w:sz w:val="32"/>
          <w:szCs w:val="32"/>
        </w:rPr>
        <w:t>。</w:t>
      </w:r>
    </w:p>
    <w:p>
      <w:pPr>
        <w:pStyle w:val="18"/>
        <w:spacing w:line="560" w:lineRule="exact"/>
        <w:rPr>
          <w:rFonts w:eastAsia="方正黑体_GBK"/>
          <w:sz w:val="32"/>
          <w:szCs w:val="32"/>
        </w:rPr>
      </w:pPr>
      <w:r>
        <w:rPr>
          <w:rFonts w:eastAsia="方正黑体_GBK"/>
          <w:sz w:val="32"/>
          <w:szCs w:val="32"/>
        </w:rPr>
        <w:t>二、关于</w:t>
      </w:r>
      <w:r>
        <w:rPr>
          <w:rFonts w:eastAsia="方正黑体_GBK" w:hint="eastAsia"/>
          <w:sz w:val="32"/>
          <w:szCs w:val="32"/>
        </w:rPr>
        <w:t>武夷山</w:t>
      </w:r>
      <w:r>
        <w:rPr>
          <w:rFonts w:eastAsia="方正黑体_GBK"/>
          <w:sz w:val="32"/>
          <w:szCs w:val="32"/>
        </w:rPr>
        <w:t>海关2026年收入预算情况说明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武夷山</w:t>
      </w:r>
      <w:r>
        <w:rPr>
          <w:rFonts w:eastAsia="方正仿宋_GBK"/>
          <w:sz w:val="32"/>
          <w:szCs w:val="32"/>
        </w:rPr>
        <w:t>海关2026年收入预算929.24万元，其中：上年结转81.55万元，占8.78%；一般公共预算财政拨款712.69万元，占</w:t>
      </w:r>
      <w:r>
        <w:rPr>
          <w:rFonts w:eastAsia="方正仿宋_GBK" w:hint="eastAsia"/>
          <w:sz w:val="32"/>
          <w:szCs w:val="32"/>
        </w:rPr>
        <w:t>7</w:t>
      </w:r>
      <w:r>
        <w:rPr>
          <w:rFonts w:eastAsia="方正仿宋_GBK"/>
          <w:sz w:val="32"/>
          <w:szCs w:val="32"/>
        </w:rPr>
        <w:t>6.70%；其他收入135万元，占14.53%。</w:t>
      </w:r>
    </w:p>
    <w:p>
      <w:pPr>
        <w:pStyle w:val="18"/>
        <w:jc w:val="center"/>
        <w:rPr>
          <w:rFonts w:eastAsia="方正黑体_GBK"/>
          <w:sz w:val="32"/>
          <w:szCs w:val="32"/>
        </w:rPr>
      </w:pPr>
      <w:r>
        <w:rPr>
          <w:rFonts w:eastAsia="方正黑体_GBK"/>
          <w:sz w:val="32"/>
          <w:szCs w:val="32"/>
        </w:rPr>
        <w:drawing>
          <wp:inline distT="0" distB="0" distL="85723" distR="85723">
            <wp:extent cx="4670734" cy="3683653"/>
            <wp:effectExtent l="0" t="0" r="0" b="0"/>
            <wp:docPr id="7" name="图片"/>
            <wp:cNvGraphicFramePr>
              <a:graphicFrameLocks noChangeAspect="1"/>
            </wp:cNvGraphicFramePr>
            <a:graphic>
              <a:graphicData uri="http://schemas.openxmlformats.org/drawingml/2006/picture">
                <pic:pic>
                  <pic:nvPicPr>
                    <pic:cNvPr id="9" name="图片 9"/>
                    <pic:cNvPicPr/>
                  </pic:nvPicPr>
                  <pic:blipFill>
                    <a:blip r:embed="rId4"/>
                    <a:srcRect t="965" b="2545" l="8782" r="2660"/>
                    <a:stretch>
                      <a:fillRect/>
                    </a:stretch>
                  </pic:blipFill>
                  <pic:spPr>
                    <a:xfrm rot="0">
                      <a:off x="0" y="0"/>
                      <a:ext cx="4670734" cy="3683653"/>
                    </a:xfrm>
                    <a:prstGeom prst="rect"/>
                    <a:noFill/>
                    <a:ln w="9525" cmpd="sng" cap="flat">
                      <a:noFill/>
                      <a:prstDash val="solid"/>
                      <a:miter/>
                    </a:ln>
                  </pic:spPr>
                </pic:pic>
              </a:graphicData>
            </a:graphic>
          </wp:inline>
        </w:drawing>
      </w:r>
    </w:p>
    <w:p>
      <w:pPr>
        <w:pStyle w:val="18"/>
        <w:spacing w:line="560" w:lineRule="exact"/>
        <w:rPr>
          <w:rFonts w:eastAsia="方正黑体_GBK"/>
          <w:sz w:val="32"/>
          <w:szCs w:val="32"/>
        </w:rPr>
      </w:pPr>
      <w:r>
        <w:rPr>
          <w:rFonts w:eastAsia="方正黑体_GBK" w:hint="eastAsia"/>
          <w:sz w:val="32"/>
          <w:szCs w:val="32"/>
        </w:rPr>
        <w:t>三、关于武夷山海关</w:t>
      </w:r>
      <w:r>
        <w:rPr>
          <w:rFonts w:eastAsia="方正黑体_GBK"/>
          <w:sz w:val="32"/>
          <w:szCs w:val="32"/>
        </w:rPr>
        <w:t>2026</w:t>
      </w:r>
      <w:r>
        <w:rPr>
          <w:rFonts w:eastAsia="方正黑体_GBK" w:hint="eastAsia"/>
          <w:sz w:val="32"/>
          <w:szCs w:val="32"/>
        </w:rPr>
        <w:t>年支出预算情况说明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武夷山海关</w:t>
      </w:r>
      <w:r>
        <w:rPr>
          <w:rFonts w:eastAsia="方正仿宋_GBK"/>
          <w:sz w:val="32"/>
          <w:szCs w:val="32"/>
        </w:rPr>
        <w:t>2026</w:t>
      </w:r>
      <w:r>
        <w:rPr>
          <w:rFonts w:eastAsia="方正仿宋_GBK" w:hint="eastAsia"/>
          <w:sz w:val="32"/>
          <w:szCs w:val="32"/>
        </w:rPr>
        <w:t>年支出预算</w:t>
      </w:r>
      <w:r>
        <w:rPr>
          <w:rFonts w:eastAsia="方正仿宋_GBK"/>
          <w:sz w:val="32"/>
          <w:szCs w:val="32"/>
        </w:rPr>
        <w:t>929.24</w:t>
      </w:r>
      <w:r>
        <w:rPr>
          <w:rFonts w:eastAsia="方正仿宋_GBK" w:hint="eastAsia"/>
          <w:sz w:val="32"/>
          <w:szCs w:val="32"/>
        </w:rPr>
        <w:t>万元，其中：基本支出</w:t>
      </w:r>
      <w:r>
        <w:rPr>
          <w:rFonts w:eastAsia="方正仿宋_GBK"/>
          <w:sz w:val="32"/>
          <w:szCs w:val="32"/>
        </w:rPr>
        <w:t>830.77</w:t>
      </w:r>
      <w:r>
        <w:rPr>
          <w:rFonts w:eastAsia="方正仿宋_GBK" w:hint="eastAsia"/>
          <w:sz w:val="32"/>
          <w:szCs w:val="32"/>
        </w:rPr>
        <w:t>万元，占</w:t>
      </w:r>
      <w:r>
        <w:rPr>
          <w:rFonts w:eastAsia="方正仿宋_GBK"/>
          <w:sz w:val="32"/>
          <w:szCs w:val="32"/>
        </w:rPr>
        <w:t>89.40%</w:t>
      </w:r>
      <w:r>
        <w:rPr>
          <w:rFonts w:eastAsia="方正仿宋_GBK" w:hint="eastAsia"/>
          <w:sz w:val="32"/>
          <w:szCs w:val="32"/>
        </w:rPr>
        <w:t>；项目支出</w:t>
      </w:r>
      <w:r>
        <w:rPr>
          <w:rFonts w:eastAsia="方正仿宋_GBK"/>
          <w:sz w:val="32"/>
          <w:szCs w:val="32"/>
        </w:rPr>
        <w:t>98.47</w:t>
      </w:r>
      <w:r>
        <w:rPr>
          <w:rFonts w:eastAsia="方正仿宋_GBK" w:hint="eastAsia"/>
          <w:sz w:val="32"/>
          <w:szCs w:val="32"/>
        </w:rPr>
        <w:t>万元，占</w:t>
      </w:r>
      <w:r>
        <w:rPr>
          <w:rFonts w:eastAsia="方正仿宋_GBK"/>
          <w:sz w:val="32"/>
          <w:szCs w:val="32"/>
        </w:rPr>
        <w:t>10.60%</w:t>
      </w:r>
      <w:r>
        <w:rPr>
          <w:rFonts w:eastAsia="方正仿宋_GBK" w:hint="eastAsia"/>
          <w:sz w:val="32"/>
          <w:szCs w:val="32"/>
        </w:rPr>
        <w:t>。</w:t>
      </w:r>
    </w:p>
    <w:p>
      <w:pPr>
        <w:pStyle w:val="18"/>
        <w:jc w:val="center"/>
        <w:rPr>
          <w:rFonts w:eastAsia="方正黑体_GBK"/>
          <w:sz w:val="32"/>
          <w:szCs w:val="32"/>
        </w:rPr>
      </w:pPr>
      <w:r>
        <w:rPr>
          <w:rFonts w:eastAsia="方正黑体_GBK"/>
          <w:sz w:val="32"/>
          <w:szCs w:val="32"/>
        </w:rPr>
        <w:drawing>
          <wp:inline distT="0" distB="0" distL="85723" distR="85723">
            <wp:extent cx="4571929" cy="3686118"/>
            <wp:effectExtent l="0" t="0" r="0" b="0"/>
            <wp:docPr id="10" name="图片"/>
            <wp:cNvGraphicFramePr>
              <a:graphicFrameLocks noChangeAspect="1"/>
            </wp:cNvGraphicFramePr>
            <a:graphic>
              <a:graphicData uri="http://schemas.openxmlformats.org/drawingml/2006/picture">
                <pic:pic>
                  <pic:nvPicPr>
                    <pic:cNvPr id="12" name="图片 12"/>
                    <pic:cNvPicPr/>
                  </pic:nvPicPr>
                  <pic:blipFill>
                    <a:blip r:embed="rId5"/>
                    <a:stretch>
                      <a:fillRect/>
                    </a:stretch>
                  </pic:blipFill>
                  <pic:spPr>
                    <a:xfrm rot="0">
                      <a:off x="0" y="0"/>
                      <a:ext cx="4571929" cy="3686118"/>
                    </a:xfrm>
                    <a:prstGeom prst="rect"/>
                    <a:noFill/>
                    <a:ln w="9525" cmpd="sng" cap="flat">
                      <a:noFill/>
                      <a:prstDash val="solid"/>
                      <a:miter/>
                    </a:ln>
                  </pic:spPr>
                </pic:pic>
              </a:graphicData>
            </a:graphic>
          </wp:inline>
        </w:drawing>
      </w:r>
    </w:p>
    <w:p>
      <w:pPr>
        <w:pStyle w:val="18"/>
        <w:spacing w:line="560" w:lineRule="exact"/>
        <w:rPr>
          <w:rFonts w:eastAsia="方正黑体_GBK"/>
          <w:sz w:val="32"/>
          <w:szCs w:val="32"/>
        </w:rPr>
      </w:pPr>
      <w:r>
        <w:rPr>
          <w:rFonts w:eastAsia="方正黑体_GBK" w:hint="eastAsia"/>
          <w:sz w:val="32"/>
          <w:szCs w:val="32"/>
        </w:rPr>
        <w:t>四、关于武夷山海关2026年财政拨款收支预算情况的总体说明</w:t>
      </w:r>
    </w:p>
    <w:p>
      <w:pPr>
        <w:ind w:firstLineChars="200" w:firstLine="640"/>
        <w:jc w:val="left"/>
        <w:rPr>
          <w:rFonts w:ascii="Times New Roman" w:eastAsia="方正仿宋_GBK" w:hAnsi="Times New Roman"/>
          <w:sz w:val="32"/>
          <w:szCs w:val="32"/>
        </w:rPr>
      </w:pPr>
      <w:r>
        <w:rPr>
          <w:rFonts w:ascii="Times New Roman" w:eastAsia="方正仿宋_GBK" w:hAnsi="Times New Roman" w:hint="eastAsia"/>
          <w:sz w:val="32"/>
          <w:szCs w:val="32"/>
        </w:rPr>
        <w:t>武夷山海关</w:t>
      </w:r>
      <w:r>
        <w:rPr>
          <w:rFonts w:ascii="Times New Roman" w:eastAsia="方正仿宋_GBK" w:hAnsi="Times New Roman"/>
          <w:sz w:val="32"/>
          <w:szCs w:val="32"/>
        </w:rPr>
        <w:t>2026</w:t>
      </w:r>
      <w:r>
        <w:rPr>
          <w:rFonts w:ascii="Times New Roman" w:eastAsia="方正仿宋_GBK" w:hAnsi="Times New Roman" w:hint="eastAsia"/>
          <w:sz w:val="32"/>
          <w:szCs w:val="32"/>
        </w:rPr>
        <w:t>年财政拨款收入总预算7</w:t>
      </w:r>
      <w:r>
        <w:rPr>
          <w:rFonts w:ascii="Times New Roman" w:eastAsia="方正仿宋_GBK" w:hAnsi="Times New Roman"/>
          <w:sz w:val="32"/>
          <w:szCs w:val="32"/>
        </w:rPr>
        <w:t>12.69</w:t>
      </w:r>
      <w:r>
        <w:rPr>
          <w:rFonts w:ascii="Times New Roman" w:eastAsia="方正仿宋_GBK" w:hAnsi="Times New Roman" w:hint="eastAsia"/>
          <w:sz w:val="32"/>
          <w:szCs w:val="32"/>
        </w:rPr>
        <w:t>万元，支出总预算7</w:t>
      </w:r>
      <w:r>
        <w:rPr>
          <w:rFonts w:ascii="Times New Roman" w:eastAsia="方正仿宋_GBK" w:hAnsi="Times New Roman"/>
          <w:sz w:val="32"/>
          <w:szCs w:val="32"/>
        </w:rPr>
        <w:t>12.69</w:t>
      </w:r>
      <w:r>
        <w:rPr>
          <w:rFonts w:ascii="Times New Roman" w:eastAsia="方正仿宋_GBK" w:hAnsi="Times New Roman" w:hint="eastAsia"/>
          <w:sz w:val="32"/>
          <w:szCs w:val="32"/>
        </w:rPr>
        <w:t>万元。收入</w:t>
      </w:r>
      <w:r>
        <w:rPr>
          <w:rFonts w:ascii="Times New Roman" w:eastAsia="仿宋_GB2312" w:hAnsi="Times New Roman" w:hint="eastAsia"/>
          <w:sz w:val="32"/>
          <w:szCs w:val="30"/>
        </w:rPr>
        <w:t>全部为一般公共预算拨款，无政府性基金预算拨款</w:t>
      </w:r>
      <w:r>
        <w:rPr>
          <w:rFonts w:ascii="Times New Roman" w:eastAsia="方正仿宋_GBK" w:hAnsi="Times New Roman"/>
          <w:sz w:val="32"/>
          <w:szCs w:val="32"/>
        </w:rPr>
        <w:t>。收入包括：</w:t>
      </w:r>
      <w:r>
        <w:rPr>
          <w:rFonts w:ascii="Times New Roman" w:eastAsia="方正仿宋_GBK" w:hAnsi="Times New Roman" w:hint="eastAsia"/>
          <w:sz w:val="32"/>
          <w:szCs w:val="32"/>
        </w:rPr>
        <w:t>一般公共预算当年财政拨款收入7</w:t>
      </w:r>
      <w:r>
        <w:rPr>
          <w:rFonts w:ascii="Times New Roman" w:eastAsia="方正仿宋_GBK" w:hAnsi="Times New Roman"/>
          <w:sz w:val="32"/>
          <w:szCs w:val="32"/>
        </w:rPr>
        <w:t>12.69万元</w:t>
      </w:r>
      <w:r>
        <w:rPr>
          <w:rFonts w:ascii="Times New Roman" w:eastAsia="方正仿宋_GBK" w:hAnsi="Times New Roman" w:hint="eastAsia"/>
          <w:sz w:val="32"/>
          <w:szCs w:val="32"/>
        </w:rPr>
        <w:t>。支出包括：一般公共服务支出56</w:t>
      </w:r>
      <w:r>
        <w:rPr>
          <w:rFonts w:ascii="Times New Roman" w:eastAsia="方正仿宋_GBK" w:hAnsi="Times New Roman"/>
          <w:sz w:val="32"/>
          <w:szCs w:val="32"/>
        </w:rPr>
        <w:t>0.33</w:t>
      </w:r>
      <w:r>
        <w:rPr>
          <w:rFonts w:ascii="Times New Roman" w:eastAsia="方正仿宋_GBK" w:hAnsi="Times New Roman" w:hint="eastAsia"/>
          <w:sz w:val="32"/>
          <w:szCs w:val="32"/>
        </w:rPr>
        <w:t>万元、社会保障和就业支出6</w:t>
      </w:r>
      <w:r>
        <w:rPr>
          <w:rFonts w:ascii="Times New Roman" w:eastAsia="方正仿宋_GBK" w:hAnsi="Times New Roman"/>
          <w:sz w:val="32"/>
          <w:szCs w:val="32"/>
        </w:rPr>
        <w:t>6.71</w:t>
      </w:r>
      <w:r>
        <w:rPr>
          <w:rFonts w:ascii="Times New Roman" w:eastAsia="方正仿宋_GBK" w:hAnsi="Times New Roman" w:hint="eastAsia"/>
          <w:sz w:val="32"/>
          <w:szCs w:val="32"/>
        </w:rPr>
        <w:t>万元、卫生健康支出1</w:t>
      </w:r>
      <w:r>
        <w:rPr>
          <w:rFonts w:ascii="Times New Roman" w:eastAsia="方正仿宋_GBK" w:hAnsi="Times New Roman"/>
          <w:sz w:val="32"/>
          <w:szCs w:val="32"/>
        </w:rPr>
        <w:t>9.9</w:t>
      </w:r>
      <w:r>
        <w:rPr>
          <w:rFonts w:ascii="Times New Roman" w:eastAsia="方正仿宋_GBK" w:hAnsi="Times New Roman" w:hint="eastAsia"/>
          <w:sz w:val="32"/>
          <w:szCs w:val="32"/>
        </w:rPr>
        <w:t>0万元、住房保障支出</w:t>
      </w:r>
      <w:r>
        <w:rPr>
          <w:rFonts w:ascii="Times New Roman" w:eastAsia="方正仿宋_GBK" w:hAnsi="Times New Roman"/>
          <w:sz w:val="32"/>
          <w:szCs w:val="32"/>
        </w:rPr>
        <w:t>65.75</w:t>
      </w:r>
      <w:r>
        <w:rPr>
          <w:rFonts w:ascii="Times New Roman" w:eastAsia="方正仿宋_GBK" w:hAnsi="Times New Roman" w:hint="eastAsia"/>
          <w:sz w:val="32"/>
          <w:szCs w:val="32"/>
        </w:rPr>
        <w:t>万元。</w:t>
      </w:r>
    </w:p>
    <w:p>
      <w:pPr>
        <w:jc w:val="center"/>
        <w:rPr>
          <w:rFonts w:ascii="Times New Roman" w:eastAsia="方正仿宋_GBK" w:hAnsi="Times New Roman"/>
          <w:sz w:val="32"/>
          <w:szCs w:val="32"/>
        </w:rPr>
      </w:pPr>
      <w:r>
        <w:rPr>
          <w:rFonts w:ascii="Times New Roman" w:eastAsia="方正仿宋_GBK" w:hAnsi="Times New Roman"/>
          <w:sz w:val="32"/>
          <w:szCs w:val="32"/>
        </w:rPr>
        <w:drawing>
          <wp:inline distT="0" distB="0" distL="85723" distR="85723">
            <wp:extent cx="4962447" cy="3743268"/>
            <wp:effectExtent l="0" t="0" r="0" b="0"/>
            <wp:docPr id="13" name="图片"/>
            <wp:cNvGraphicFramePr>
              <a:graphicFrameLocks noChangeAspect="1"/>
            </wp:cNvGraphicFramePr>
            <a:graphic>
              <a:graphicData uri="http://schemas.openxmlformats.org/drawingml/2006/picture">
                <pic:pic>
                  <pic:nvPicPr>
                    <pic:cNvPr id="15" name="图片 15"/>
                    <pic:cNvPicPr/>
                  </pic:nvPicPr>
                  <pic:blipFill>
                    <a:blip r:embed="rId6"/>
                    <a:stretch>
                      <a:fillRect/>
                    </a:stretch>
                  </pic:blipFill>
                  <pic:spPr>
                    <a:xfrm rot="0">
                      <a:off x="0" y="0"/>
                      <a:ext cx="4962447" cy="3743268"/>
                    </a:xfrm>
                    <a:prstGeom prst="rect"/>
                    <a:noFill/>
                    <a:ln w="9525" cmpd="sng" cap="flat">
                      <a:noFill/>
                      <a:prstDash val="solid"/>
                      <a:miter/>
                    </a:ln>
                  </pic:spPr>
                </pic:pic>
              </a:graphicData>
            </a:graphic>
          </wp:inline>
        </w:drawing>
      </w: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五、关于武夷山海关2026年一般公共预算当年财政拨款情况说明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武夷山海关2026年一般公共预算当年财政拨款预算7</w:t>
      </w:r>
      <w:r>
        <w:rPr>
          <w:rFonts w:ascii="Times New Roman" w:eastAsia="方正仿宋_GBK" w:hAnsi="Times New Roman"/>
          <w:sz w:val="32"/>
          <w:szCs w:val="32"/>
        </w:rPr>
        <w:t>12.69</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10.12</w:t>
      </w:r>
      <w:r>
        <w:rPr>
          <w:rFonts w:ascii="Times New Roman" w:eastAsia="方正仿宋_GBK" w:hAnsi="Times New Roman" w:hint="eastAsia"/>
          <w:sz w:val="32"/>
          <w:szCs w:val="32"/>
        </w:rPr>
        <w:t>万元，减少</w:t>
      </w:r>
      <w:r>
        <w:rPr>
          <w:rFonts w:ascii="Times New Roman" w:eastAsia="方正仿宋_GBK" w:hAnsi="Times New Roman"/>
          <w:sz w:val="32"/>
          <w:szCs w:val="32"/>
        </w:rPr>
        <w:t>1.40</w:t>
      </w:r>
      <w:r>
        <w:rPr>
          <w:rFonts w:ascii="Times New Roman" w:eastAsia="方正仿宋_GBK" w:hAnsi="Times New Roman" w:hint="eastAsia"/>
          <w:sz w:val="32"/>
          <w:szCs w:val="32"/>
        </w:rPr>
        <w:t>%。</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2026年部门预算中，</w:t>
      </w:r>
      <w:r>
        <w:rPr>
          <w:rFonts w:ascii="Times New Roman" w:eastAsia="方正仿宋_GBK" w:hAnsi="Times New Roman" w:hint="eastAsia"/>
          <w:sz w:val="32"/>
          <w:szCs w:val="32"/>
          <w:lang w:val="zh-CN"/>
        </w:rPr>
        <w:t>一般公共预算当年财政拨款</w:t>
      </w:r>
      <w:r>
        <w:rPr>
          <w:rFonts w:ascii="Times New Roman" w:eastAsia="方正仿宋_GBK" w:hAnsi="Times New Roman" w:hint="eastAsia"/>
          <w:sz w:val="32"/>
          <w:szCs w:val="32"/>
        </w:rPr>
        <w:t>用于以下方面：一般公共服务支出56</w:t>
      </w:r>
      <w:r>
        <w:rPr>
          <w:rFonts w:ascii="Times New Roman" w:eastAsia="方正仿宋_GBK" w:hAnsi="Times New Roman"/>
          <w:sz w:val="32"/>
          <w:szCs w:val="32"/>
        </w:rPr>
        <w:t>0.33</w:t>
      </w:r>
      <w:r>
        <w:rPr>
          <w:rFonts w:ascii="Times New Roman" w:eastAsia="方正仿宋_GBK" w:hAnsi="Times New Roman" w:hint="eastAsia"/>
          <w:sz w:val="32"/>
          <w:szCs w:val="32"/>
        </w:rPr>
        <w:t>万元，占7</w:t>
      </w:r>
      <w:r>
        <w:rPr>
          <w:rFonts w:ascii="Times New Roman" w:eastAsia="方正仿宋_GBK" w:hAnsi="Times New Roman"/>
          <w:sz w:val="32"/>
          <w:szCs w:val="32"/>
        </w:rPr>
        <w:t>8.62</w:t>
      </w:r>
      <w:r>
        <w:rPr>
          <w:rFonts w:ascii="Times New Roman" w:eastAsia="方正仿宋_GBK" w:hAnsi="Times New Roman" w:hint="eastAsia"/>
          <w:sz w:val="32"/>
          <w:szCs w:val="32"/>
        </w:rPr>
        <w:t>%；社会保障和就业支出6</w:t>
      </w:r>
      <w:r>
        <w:rPr>
          <w:rFonts w:ascii="Times New Roman" w:eastAsia="方正仿宋_GBK" w:hAnsi="Times New Roman"/>
          <w:sz w:val="32"/>
          <w:szCs w:val="32"/>
        </w:rPr>
        <w:t>6.71</w:t>
      </w:r>
      <w:r>
        <w:rPr>
          <w:rFonts w:ascii="Times New Roman" w:eastAsia="方正仿宋_GBK" w:hAnsi="Times New Roman" w:hint="eastAsia"/>
          <w:sz w:val="32"/>
          <w:szCs w:val="32"/>
        </w:rPr>
        <w:t>万元，占9.</w:t>
      </w:r>
      <w:r>
        <w:rPr>
          <w:rFonts w:ascii="Times New Roman" w:eastAsia="方正仿宋_GBK" w:hAnsi="Times New Roman"/>
          <w:sz w:val="32"/>
          <w:szCs w:val="32"/>
        </w:rPr>
        <w:t>36</w:t>
      </w:r>
      <w:r>
        <w:rPr>
          <w:rFonts w:ascii="Times New Roman" w:eastAsia="方正仿宋_GBK" w:hAnsi="Times New Roman" w:hint="eastAsia"/>
          <w:sz w:val="32"/>
          <w:szCs w:val="32"/>
        </w:rPr>
        <w:t>%；卫生健康支出</w:t>
      </w:r>
      <w:r>
        <w:rPr>
          <w:rFonts w:ascii="Times New Roman" w:eastAsia="方正仿宋_GBK" w:hAnsi="Times New Roman"/>
          <w:sz w:val="32"/>
          <w:szCs w:val="32"/>
        </w:rPr>
        <w:t>19.90</w:t>
      </w:r>
      <w:r>
        <w:rPr>
          <w:rFonts w:ascii="Times New Roman" w:eastAsia="方正仿宋_GBK" w:hAnsi="Times New Roman" w:hint="eastAsia"/>
          <w:sz w:val="32"/>
          <w:szCs w:val="32"/>
        </w:rPr>
        <w:t>万元，占2.</w:t>
      </w:r>
      <w:r>
        <w:rPr>
          <w:rFonts w:ascii="Times New Roman" w:eastAsia="方正仿宋_GBK" w:hAnsi="Times New Roman"/>
          <w:sz w:val="32"/>
          <w:szCs w:val="32"/>
        </w:rPr>
        <w:t>79</w:t>
      </w:r>
      <w:r>
        <w:rPr>
          <w:rFonts w:ascii="Times New Roman" w:eastAsia="方正仿宋_GBK" w:hAnsi="Times New Roman" w:hint="eastAsia"/>
          <w:sz w:val="32"/>
          <w:szCs w:val="32"/>
        </w:rPr>
        <w:t>%；住房保障支出</w:t>
      </w:r>
      <w:r>
        <w:rPr>
          <w:rFonts w:ascii="Times New Roman" w:eastAsia="方正仿宋_GBK" w:hAnsi="Times New Roman"/>
          <w:sz w:val="32"/>
          <w:szCs w:val="32"/>
        </w:rPr>
        <w:t>65.75</w:t>
      </w:r>
      <w:r>
        <w:rPr>
          <w:rFonts w:ascii="Times New Roman" w:eastAsia="方正仿宋_GBK" w:hAnsi="Times New Roman" w:hint="eastAsia"/>
          <w:sz w:val="32"/>
          <w:szCs w:val="32"/>
        </w:rPr>
        <w:t>万元，占</w:t>
      </w:r>
      <w:r>
        <w:rPr>
          <w:rFonts w:ascii="Times New Roman" w:eastAsia="方正仿宋_GBK" w:hAnsi="Times New Roman"/>
          <w:sz w:val="32"/>
          <w:szCs w:val="32"/>
        </w:rPr>
        <w:t>9.23</w:t>
      </w:r>
      <w:r>
        <w:rPr>
          <w:rFonts w:ascii="Times New Roman" w:eastAsia="方正仿宋_GBK" w:hAnsi="Times New Roman" w:hint="eastAsia"/>
          <w:sz w:val="32"/>
          <w:szCs w:val="32"/>
        </w:rPr>
        <w:t>%。</w:t>
      </w:r>
    </w:p>
    <w:p>
      <w:pPr>
        <w:ind w:firstLineChars="200" w:firstLine="640"/>
        <w:rPr>
          <w:rFonts w:ascii="Times New Roman" w:eastAsia="方正仿宋_GBK" w:hAnsi="Times New Roman"/>
          <w:sz w:val="32"/>
          <w:szCs w:val="32"/>
        </w:rPr>
      </w:pPr>
    </w:p>
    <w:p>
      <w:pPr>
        <w:jc w:val="center"/>
        <w:rPr>
          <w:rFonts w:ascii="Times New Roman" w:eastAsia="方正仿宋_GBK" w:hAnsi="Times New Roman"/>
          <w:sz w:val="32"/>
          <w:szCs w:val="32"/>
        </w:rPr>
      </w:pPr>
      <w:r>
        <w:rPr>
          <w:rFonts w:ascii="Times New Roman" w:eastAsia="方正仿宋_GBK" w:hAnsi="Times New Roman"/>
          <w:sz w:val="32"/>
          <w:szCs w:val="32"/>
        </w:rPr>
        <w:drawing>
          <wp:inline distT="0" distB="0" distL="85723" distR="85723">
            <wp:extent cx="5274310" cy="3182773"/>
            <wp:effectExtent l="0" t="0" r="0" b="0"/>
            <wp:docPr id="16" name="图片"/>
            <wp:cNvGraphicFramePr>
              <a:graphicFrameLocks noChangeAspect="1"/>
            </wp:cNvGraphicFramePr>
            <a:graphic>
              <a:graphicData uri="http://schemas.openxmlformats.org/drawingml/2006/picture">
                <pic:pic>
                  <pic:nvPicPr>
                    <pic:cNvPr id="18" name="图片 18"/>
                    <pic:cNvPicPr/>
                  </pic:nvPicPr>
                  <pic:blipFill>
                    <a:blip r:embed="rId7"/>
                    <a:stretch>
                      <a:fillRect/>
                    </a:stretch>
                  </pic:blipFill>
                  <pic:spPr>
                    <a:xfrm rot="0">
                      <a:off x="0" y="0"/>
                      <a:ext cx="5274310" cy="3182773"/>
                    </a:xfrm>
                    <a:prstGeom prst="rect"/>
                    <a:noFill/>
                    <a:ln w="9525" cmpd="sng" cap="flat">
                      <a:noFill/>
                      <a:prstDash val="solid"/>
                      <a:miter/>
                    </a:ln>
                  </pic:spPr>
                </pic:pic>
              </a:graphicData>
            </a:graphic>
          </wp:inline>
        </w:drawing>
      </w:r>
    </w:p>
    <w:p>
      <w:pPr>
        <w:spacing w:line="560" w:lineRule="exact"/>
        <w:ind w:firstLineChars="200" w:firstLine="640"/>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1．一般公共服务支出（类）海关事务（款）2026年预算56</w:t>
      </w:r>
      <w:r>
        <w:rPr>
          <w:rFonts w:ascii="Times New Roman" w:eastAsia="方正仿宋_GBK" w:hAnsi="Times New Roman"/>
          <w:sz w:val="32"/>
          <w:szCs w:val="32"/>
        </w:rPr>
        <w:t>0.33</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0.76</w:t>
      </w:r>
      <w:r>
        <w:rPr>
          <w:rFonts w:ascii="Times New Roman" w:eastAsia="方正仿宋_GBK" w:hAnsi="Times New Roman" w:hint="eastAsia"/>
          <w:sz w:val="32"/>
          <w:szCs w:val="32"/>
        </w:rPr>
        <w:t>万元，减少</w:t>
      </w:r>
      <w:r>
        <w:rPr>
          <w:rFonts w:ascii="Times New Roman" w:eastAsia="方正仿宋_GBK" w:hAnsi="Times New Roman"/>
          <w:sz w:val="32"/>
          <w:szCs w:val="32"/>
        </w:rPr>
        <w:t>0.14</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（1）行政运行（项）2026年预算</w:t>
      </w:r>
      <w:r>
        <w:rPr>
          <w:rFonts w:ascii="Times New Roman" w:eastAsia="方正仿宋_GBK" w:hAnsi="Times New Roman"/>
          <w:sz w:val="32"/>
          <w:szCs w:val="32"/>
        </w:rPr>
        <w:t>461.86</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23.65</w:t>
      </w:r>
      <w:r>
        <w:rPr>
          <w:rFonts w:ascii="Times New Roman" w:eastAsia="方正仿宋_GBK" w:hAnsi="Times New Roman" w:hint="eastAsia"/>
          <w:sz w:val="32"/>
          <w:szCs w:val="32"/>
        </w:rPr>
        <w:t>万元，减少</w:t>
      </w:r>
      <w:r>
        <w:rPr>
          <w:rFonts w:ascii="Times New Roman" w:eastAsia="方正仿宋_GBK" w:hAnsi="Times New Roman"/>
          <w:sz w:val="32"/>
          <w:szCs w:val="32"/>
        </w:rPr>
        <w:t>4.87</w:t>
      </w:r>
      <w:r>
        <w:rPr>
          <w:rFonts w:ascii="Times New Roman" w:eastAsia="方正仿宋_GBK" w:hAnsi="Times New Roman" w:hint="eastAsia"/>
          <w:sz w:val="32"/>
          <w:szCs w:val="32"/>
        </w:rPr>
        <w:t>%。主要是人员经费预算减少。</w:t>
      </w:r>
    </w:p>
    <w:p>
      <w:pPr>
        <w:spacing w:line="560" w:lineRule="exact"/>
        <w:ind w:firstLineChars="200" w:firstLine="640"/>
        <w:rPr>
          <w:rFonts w:ascii="Times New Roman" w:eastAsia="方正仿宋_GBK" w:hAnsi="Times New Roman"/>
          <w:color w:val="FF0000"/>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）海关关务（项）2026年预算</w:t>
      </w:r>
      <w:r>
        <w:rPr>
          <w:rFonts w:ascii="Times New Roman" w:eastAsia="方正仿宋_GBK" w:hAnsi="Times New Roman"/>
          <w:sz w:val="32"/>
          <w:szCs w:val="32"/>
        </w:rPr>
        <w:t>63.4</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增加18.42</w:t>
      </w:r>
      <w:r>
        <w:rPr>
          <w:rFonts w:ascii="Times New Roman" w:eastAsia="方正仿宋_GBK" w:hAnsi="Times New Roman" w:hint="eastAsia"/>
          <w:sz w:val="32"/>
          <w:szCs w:val="32"/>
        </w:rPr>
        <w:t>万元，</w:t>
      </w:r>
      <w:r>
        <w:rPr>
          <w:rFonts w:ascii="Times New Roman" w:eastAsia="方正仿宋_GBK" w:hAnsi="Times New Roman"/>
          <w:sz w:val="32"/>
          <w:szCs w:val="32"/>
        </w:rPr>
        <w:t>增加40.95</w:t>
      </w:r>
      <w:r>
        <w:rPr>
          <w:rFonts w:ascii="Times New Roman" w:eastAsia="方正仿宋_GBK" w:hAnsi="Times New Roman" w:hint="eastAsia"/>
          <w:sz w:val="32"/>
          <w:szCs w:val="32"/>
        </w:rPr>
        <w:t>%。主要是本年海关业务保障及能力提升专项包含购置公务车预算而2025年</w:t>
      </w:r>
      <w:r>
        <w:rPr>
          <w:rFonts w:ascii="Times New Roman" w:eastAsia="方正仿宋_GBK" w:hAnsi="Times New Roman"/>
          <w:sz w:val="32"/>
          <w:szCs w:val="32"/>
        </w:rPr>
        <w:t>未</w:t>
      </w:r>
      <w:r>
        <w:rPr>
          <w:rFonts w:ascii="Times New Roman" w:eastAsia="方正仿宋_GBK" w:hAnsi="Times New Roman" w:hint="eastAsia"/>
          <w:sz w:val="32"/>
          <w:szCs w:val="32"/>
        </w:rPr>
        <w:t>包含。</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）海关监管（项）2026年预算2</w:t>
      </w:r>
      <w:r>
        <w:rPr>
          <w:rFonts w:ascii="Times New Roman" w:eastAsia="方正仿宋_GBK" w:hAnsi="Times New Roman"/>
          <w:sz w:val="32"/>
          <w:szCs w:val="32"/>
        </w:rPr>
        <w:t>3</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3</w:t>
      </w:r>
      <w:r>
        <w:rPr>
          <w:rFonts w:ascii="Times New Roman" w:eastAsia="方正仿宋_GBK" w:hAnsi="Times New Roman" w:hint="eastAsia"/>
          <w:sz w:val="32"/>
          <w:szCs w:val="32"/>
        </w:rPr>
        <w:t>万元，增加</w:t>
      </w:r>
      <w:r>
        <w:rPr>
          <w:rFonts w:ascii="Times New Roman" w:eastAsia="方正仿宋_GBK" w:hAnsi="Times New Roman"/>
          <w:sz w:val="32"/>
          <w:szCs w:val="32"/>
        </w:rPr>
        <w:t>1</w:t>
      </w:r>
      <w:r>
        <w:rPr>
          <w:rFonts w:ascii="Times New Roman" w:eastAsia="方正仿宋_GBK" w:hAnsi="Times New Roman" w:hint="eastAsia"/>
          <w:sz w:val="32"/>
          <w:szCs w:val="32"/>
        </w:rPr>
        <w:t>5%。主要是本年监管查验技术装备设备购建及能力保障专项预算增加。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4</w:t>
      </w:r>
      <w:r>
        <w:rPr>
          <w:rFonts w:ascii="Times New Roman" w:eastAsia="方正仿宋_GBK" w:hAnsi="Times New Roman" w:hint="eastAsia"/>
          <w:sz w:val="32"/>
          <w:szCs w:val="32"/>
        </w:rPr>
        <w:t>）检验检疫（项）2026年预算</w:t>
      </w:r>
      <w:r>
        <w:rPr>
          <w:rFonts w:ascii="Times New Roman" w:eastAsia="方正仿宋_GBK" w:hAnsi="Times New Roman"/>
          <w:sz w:val="32"/>
          <w:szCs w:val="32"/>
        </w:rPr>
        <w:t>12.07</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增加1.47</w:t>
      </w:r>
      <w:r>
        <w:rPr>
          <w:rFonts w:ascii="Times New Roman" w:eastAsia="方正仿宋_GBK" w:hAnsi="Times New Roman" w:hint="eastAsia"/>
          <w:sz w:val="32"/>
          <w:szCs w:val="32"/>
        </w:rPr>
        <w:t>万元，</w:t>
      </w:r>
      <w:r>
        <w:rPr>
          <w:rFonts w:ascii="Times New Roman" w:eastAsia="方正仿宋_GBK" w:hAnsi="Times New Roman"/>
          <w:sz w:val="32"/>
          <w:szCs w:val="32"/>
        </w:rPr>
        <w:t>增加13.87</w:t>
      </w:r>
      <w:r>
        <w:rPr>
          <w:rFonts w:ascii="Times New Roman" w:eastAsia="方正仿宋_GBK" w:hAnsi="Times New Roman" w:hint="eastAsia"/>
          <w:sz w:val="32"/>
          <w:szCs w:val="32"/>
        </w:rPr>
        <w:t>%。主要是</w:t>
      </w:r>
      <w:r>
        <w:rPr>
          <w:rFonts w:ascii="Times New Roman" w:eastAsia="方正仿宋_GBK" w:hAnsi="Times New Roman"/>
          <w:sz w:val="32"/>
          <w:szCs w:val="32"/>
        </w:rPr>
        <w:t>国门生物安全专项</w:t>
      </w:r>
      <w:r>
        <w:rPr>
          <w:rFonts w:ascii="Times New Roman" w:eastAsia="方正仿宋_GBK" w:hAnsi="Times New Roman" w:hint="eastAsia"/>
          <w:sz w:val="32"/>
          <w:szCs w:val="32"/>
        </w:rPr>
        <w:t>支出预算</w:t>
      </w:r>
      <w:r>
        <w:rPr>
          <w:rFonts w:ascii="Times New Roman" w:eastAsia="方正仿宋_GBK" w:hAnsi="Times New Roman"/>
          <w:sz w:val="32"/>
          <w:szCs w:val="32"/>
        </w:rPr>
        <w:t>增加</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2．社会保障和就业支出（类）行政事业单位养老支出（款）2026年预算6</w:t>
      </w:r>
      <w:r>
        <w:rPr>
          <w:rFonts w:ascii="Times New Roman" w:eastAsia="方正仿宋_GBK" w:hAnsi="Times New Roman"/>
          <w:sz w:val="32"/>
          <w:szCs w:val="32"/>
        </w:rPr>
        <w:t>6.71</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减少2.47</w:t>
      </w:r>
      <w:r>
        <w:rPr>
          <w:rFonts w:ascii="Times New Roman" w:eastAsia="方正仿宋_GBK" w:hAnsi="Times New Roman" w:hint="eastAsia"/>
          <w:sz w:val="32"/>
          <w:szCs w:val="32"/>
        </w:rPr>
        <w:t>万元，</w:t>
      </w:r>
      <w:r>
        <w:rPr>
          <w:rFonts w:ascii="Times New Roman" w:eastAsia="方正仿宋_GBK" w:hAnsi="Times New Roman"/>
          <w:sz w:val="32"/>
          <w:szCs w:val="32"/>
        </w:rPr>
        <w:t>减少3.57</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（1）行政单位离退休（项）2026年预算0.4</w:t>
      </w:r>
      <w:r>
        <w:rPr>
          <w:rFonts w:ascii="Times New Roman" w:eastAsia="方正仿宋_GBK" w:hAnsi="Times New Roman"/>
          <w:sz w:val="32"/>
          <w:szCs w:val="32"/>
        </w:rPr>
        <w:t>7</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增加</w:t>
      </w:r>
      <w:r>
        <w:rPr>
          <w:rFonts w:ascii="Times New Roman" w:eastAsia="方正仿宋_GBK" w:hAnsi="Times New Roman" w:hint="eastAsia"/>
          <w:sz w:val="32"/>
          <w:szCs w:val="32"/>
        </w:rPr>
        <w:t>0.05万元，</w:t>
      </w:r>
      <w:r>
        <w:rPr>
          <w:rFonts w:ascii="Times New Roman" w:eastAsia="方正仿宋_GBK" w:hAnsi="Times New Roman"/>
          <w:sz w:val="32"/>
          <w:szCs w:val="32"/>
        </w:rPr>
        <w:t>增加11.90</w:t>
      </w:r>
      <w:r>
        <w:rPr>
          <w:rFonts w:ascii="Times New Roman" w:eastAsia="方正仿宋_GBK" w:hAnsi="Times New Roman" w:hint="eastAsia"/>
          <w:sz w:val="32"/>
          <w:szCs w:val="32"/>
        </w:rPr>
        <w:t>%。主要是行政单位离退休经费</w:t>
      </w:r>
      <w:r>
        <w:rPr>
          <w:rFonts w:ascii="Times New Roman" w:eastAsia="方正仿宋_GBK" w:hAnsi="Times New Roman"/>
          <w:sz w:val="32"/>
          <w:szCs w:val="32"/>
        </w:rPr>
        <w:t>增加</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（2）机关事业单位基本养老保险缴费支出（项）2026年预算4</w:t>
      </w:r>
      <w:r>
        <w:rPr>
          <w:rFonts w:ascii="Times New Roman" w:eastAsia="方正仿宋_GBK" w:hAnsi="Times New Roman"/>
          <w:sz w:val="32"/>
          <w:szCs w:val="32"/>
        </w:rPr>
        <w:t>2.11</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减少3.16</w:t>
      </w:r>
      <w:r>
        <w:rPr>
          <w:rFonts w:ascii="Times New Roman" w:eastAsia="方正仿宋_GBK" w:hAnsi="Times New Roman" w:hint="eastAsia"/>
          <w:sz w:val="32"/>
          <w:szCs w:val="32"/>
        </w:rPr>
        <w:t>万元，</w:t>
      </w:r>
      <w:r>
        <w:rPr>
          <w:rFonts w:ascii="Times New Roman" w:eastAsia="方正仿宋_GBK" w:hAnsi="Times New Roman"/>
          <w:sz w:val="32"/>
          <w:szCs w:val="32"/>
        </w:rPr>
        <w:t>减少6.98</w:t>
      </w:r>
      <w:r>
        <w:rPr>
          <w:rFonts w:ascii="Times New Roman" w:eastAsia="方正仿宋_GBK" w:hAnsi="Times New Roman" w:hint="eastAsia"/>
          <w:sz w:val="32"/>
          <w:szCs w:val="32"/>
        </w:rPr>
        <w:t>%。主要是基本养老保险单位缴费经费</w:t>
      </w:r>
      <w:r>
        <w:rPr>
          <w:rFonts w:ascii="Times New Roman" w:eastAsia="方正仿宋_GBK" w:hAnsi="Times New Roman"/>
          <w:sz w:val="32"/>
          <w:szCs w:val="32"/>
        </w:rPr>
        <w:t>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（5）机关事业单位职业年金缴费支出（项）2026年预算2</w:t>
      </w:r>
      <w:r>
        <w:rPr>
          <w:rFonts w:ascii="Times New Roman" w:eastAsia="方正仿宋_GBK" w:hAnsi="Times New Roman"/>
          <w:sz w:val="32"/>
          <w:szCs w:val="32"/>
        </w:rPr>
        <w:t>4.13</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0.64</w:t>
      </w:r>
      <w:r>
        <w:rPr>
          <w:rFonts w:ascii="Times New Roman" w:eastAsia="方正仿宋_GBK" w:hAnsi="Times New Roman" w:hint="eastAsia"/>
          <w:sz w:val="32"/>
          <w:szCs w:val="32"/>
        </w:rPr>
        <w:t>万元，增加</w:t>
      </w:r>
      <w:r>
        <w:rPr>
          <w:rFonts w:ascii="Times New Roman" w:eastAsia="方正仿宋_GBK" w:hAnsi="Times New Roman"/>
          <w:sz w:val="32"/>
          <w:szCs w:val="32"/>
        </w:rPr>
        <w:t>2.72</w:t>
      </w:r>
      <w:r>
        <w:rPr>
          <w:rFonts w:ascii="Times New Roman" w:eastAsia="方正仿宋_GBK" w:hAnsi="Times New Roman" w:hint="eastAsia"/>
          <w:sz w:val="32"/>
          <w:szCs w:val="32"/>
        </w:rPr>
        <w:t>%。主要是职业年金单位缴费经费增加。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3．卫生健康支出（类）行政事业单位医疗（款）2026年预</w:t>
      </w:r>
      <w:r>
        <w:rPr>
          <w:rFonts w:ascii="Times New Roman" w:eastAsia="方正仿宋_GBK" w:hAnsi="Times New Roman"/>
          <w:sz w:val="32"/>
          <w:szCs w:val="32"/>
        </w:rPr>
        <w:t>19.90</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1.50</w:t>
      </w:r>
      <w:r>
        <w:rPr>
          <w:rFonts w:ascii="Times New Roman" w:eastAsia="方正仿宋_GBK" w:hAnsi="Times New Roman" w:hint="eastAsia"/>
          <w:sz w:val="32"/>
          <w:szCs w:val="32"/>
        </w:rPr>
        <w:t>万元，增加</w:t>
      </w:r>
      <w:r>
        <w:rPr>
          <w:rFonts w:ascii="Times New Roman" w:eastAsia="方正仿宋_GBK" w:hAnsi="Times New Roman"/>
          <w:sz w:val="32"/>
          <w:szCs w:val="32"/>
        </w:rPr>
        <w:t>8.15</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（1）行政单位医疗（项）2026年预算1</w:t>
      </w:r>
      <w:r>
        <w:rPr>
          <w:rFonts w:ascii="Times New Roman" w:eastAsia="方正仿宋_GBK" w:hAnsi="Times New Roman"/>
          <w:sz w:val="32"/>
          <w:szCs w:val="32"/>
        </w:rPr>
        <w:t>6.71</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5.42</w:t>
      </w:r>
      <w:r>
        <w:rPr>
          <w:rFonts w:ascii="Times New Roman" w:eastAsia="方正仿宋_GBK" w:hAnsi="Times New Roman" w:hint="eastAsia"/>
          <w:sz w:val="32"/>
          <w:szCs w:val="32"/>
        </w:rPr>
        <w:t>万元，增加</w:t>
      </w:r>
      <w:r>
        <w:rPr>
          <w:rFonts w:ascii="Times New Roman" w:eastAsia="方正仿宋_GBK" w:hAnsi="Times New Roman"/>
          <w:sz w:val="32"/>
          <w:szCs w:val="32"/>
        </w:rPr>
        <w:t>48.01</w:t>
      </w:r>
      <w:r>
        <w:rPr>
          <w:rFonts w:ascii="Times New Roman" w:eastAsia="方正仿宋_GBK" w:hAnsi="Times New Roman" w:hint="eastAsia"/>
          <w:sz w:val="32"/>
          <w:szCs w:val="32"/>
        </w:rPr>
        <w:t>%</w:t>
      </w:r>
    </w:p>
    <w:p>
      <w:pPr>
        <w:pStyle w:val="63"/>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（2）公务员医疗补助（项）2026年预算</w:t>
      </w:r>
      <w:r>
        <w:rPr>
          <w:rFonts w:ascii="Times New Roman" w:eastAsia="方正仿宋_GBK" w:hAnsi="Times New Roman"/>
          <w:sz w:val="32"/>
          <w:szCs w:val="32"/>
        </w:rPr>
        <w:t>2.82</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减少3.76</w:t>
      </w:r>
      <w:r>
        <w:rPr>
          <w:rFonts w:ascii="Times New Roman" w:eastAsia="方正仿宋_GBK" w:hAnsi="Times New Roman" w:hint="eastAsia"/>
          <w:sz w:val="32"/>
          <w:szCs w:val="32"/>
        </w:rPr>
        <w:t>万元，</w:t>
      </w:r>
      <w:r>
        <w:rPr>
          <w:rFonts w:ascii="Times New Roman" w:eastAsia="方正仿宋_GBK" w:hAnsi="Times New Roman"/>
          <w:sz w:val="32"/>
          <w:szCs w:val="32"/>
        </w:rPr>
        <w:t>减少57.14</w:t>
      </w:r>
      <w:r>
        <w:rPr>
          <w:rFonts w:ascii="Times New Roman" w:eastAsia="方正仿宋_GBK" w:hAnsi="Times New Roman" w:hint="eastAsia"/>
          <w:sz w:val="32"/>
          <w:szCs w:val="32"/>
        </w:rPr>
        <w:t>%</w:t>
      </w:r>
      <w:r>
        <w:rPr>
          <w:rFonts w:ascii="Times New Roman" w:eastAsia="方正仿宋_GBK" w:hAnsi="Times New Roman"/>
          <w:sz w:val="32"/>
          <w:szCs w:val="32"/>
        </w:rPr>
        <w:t>。</w:t>
      </w:r>
    </w:p>
    <w:p>
      <w:pPr>
        <w:pStyle w:val="64"/>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hAnsi="Times New Roman" w:hint="eastAsia"/>
          <w:sz w:val="32"/>
          <w:szCs w:val="32"/>
        </w:rPr>
        <w:t>）其他行政事业单位医疗支出（项）2026年预算0.</w:t>
      </w:r>
      <w:r>
        <w:rPr>
          <w:rFonts w:ascii="Times New Roman" w:eastAsia="方正仿宋_GBK" w:hAnsi="Times New Roman"/>
          <w:sz w:val="32"/>
          <w:szCs w:val="32"/>
        </w:rPr>
        <w:t>37</w:t>
      </w:r>
      <w:r>
        <w:rPr>
          <w:rFonts w:ascii="Times New Roman" w:eastAsia="方正仿宋_GBK" w:hAnsi="Times New Roman" w:hint="eastAsia"/>
          <w:sz w:val="32"/>
          <w:szCs w:val="32"/>
        </w:rPr>
        <w:t>万元</w:t>
      </w:r>
      <w:r>
        <w:rPr>
          <w:rFonts w:ascii="Times New Roman" w:eastAsia="方正仿宋_GBK" w:hAnsi="Times New Roman"/>
          <w:sz w:val="32"/>
          <w:szCs w:val="32"/>
        </w:rPr>
        <w:t>，</w:t>
      </w:r>
      <w:r>
        <w:rPr>
          <w:rFonts w:ascii="Times New Roman" w:eastAsia="方正仿宋_GBK" w:hAnsi="Times New Roman" w:hint="eastAsia"/>
          <w:sz w:val="32"/>
          <w:szCs w:val="32"/>
        </w:rPr>
        <w:t>比2025年执行数</w:t>
      </w:r>
      <w:r>
        <w:rPr>
          <w:rFonts w:ascii="Times New Roman" w:eastAsia="方正仿宋_GBK" w:hAnsi="Times New Roman"/>
          <w:sz w:val="32"/>
          <w:szCs w:val="32"/>
        </w:rPr>
        <w:t>减少0.16</w:t>
      </w:r>
      <w:r>
        <w:rPr>
          <w:rFonts w:ascii="Times New Roman" w:eastAsia="方正仿宋_GBK" w:hAnsi="Times New Roman" w:hint="eastAsia"/>
          <w:sz w:val="32"/>
          <w:szCs w:val="32"/>
        </w:rPr>
        <w:t>万元，</w:t>
      </w:r>
      <w:r>
        <w:rPr>
          <w:rFonts w:ascii="Times New Roman" w:eastAsia="方正仿宋_GBK" w:hAnsi="Times New Roman"/>
          <w:sz w:val="32"/>
          <w:szCs w:val="32"/>
        </w:rPr>
        <w:t>减少30.19</w:t>
      </w:r>
      <w:r>
        <w:rPr>
          <w:rFonts w:ascii="Times New Roman" w:eastAsia="方正仿宋_GBK" w:hAnsi="Times New Roman" w:hint="eastAsia"/>
          <w:sz w:val="32"/>
          <w:szCs w:val="32"/>
        </w:rPr>
        <w:t>%</w:t>
      </w:r>
      <w:r>
        <w:rPr>
          <w:rFonts w:ascii="Times New Roman" w:eastAsia="方正仿宋_GBK" w:hAnsi="Times New Roman"/>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4．住房保障支出（类）住房改革支出（款）2026年预算</w:t>
      </w:r>
      <w:r>
        <w:rPr>
          <w:rFonts w:ascii="Times New Roman" w:eastAsia="方正仿宋_GBK" w:hAnsi="Times New Roman"/>
          <w:sz w:val="32"/>
          <w:szCs w:val="32"/>
        </w:rPr>
        <w:t>65.75</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8.39</w:t>
      </w:r>
      <w:r>
        <w:rPr>
          <w:rFonts w:ascii="Times New Roman" w:eastAsia="方正仿宋_GBK" w:hAnsi="Times New Roman" w:hint="eastAsia"/>
          <w:sz w:val="32"/>
          <w:szCs w:val="32"/>
        </w:rPr>
        <w:t>万元，减少</w:t>
      </w:r>
      <w:r>
        <w:rPr>
          <w:rFonts w:ascii="Times New Roman" w:eastAsia="方正仿宋_GBK" w:hAnsi="Times New Roman"/>
          <w:sz w:val="32"/>
          <w:szCs w:val="32"/>
        </w:rPr>
        <w:t>11.32</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（1）住房公积金（项）2026年预算</w:t>
      </w:r>
      <w:r>
        <w:rPr>
          <w:rFonts w:ascii="Times New Roman" w:eastAsia="方正仿宋_GBK" w:hAnsi="Times New Roman"/>
          <w:sz w:val="32"/>
          <w:szCs w:val="32"/>
        </w:rPr>
        <w:t>33.60</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2.</w:t>
      </w:r>
      <w:r>
        <w:rPr>
          <w:rFonts w:ascii="Times New Roman" w:eastAsia="方正仿宋_GBK" w:hAnsi="Times New Roman" w:hint="eastAsia"/>
          <w:sz w:val="32"/>
          <w:szCs w:val="32"/>
        </w:rPr>
        <w:t>8万元，减少</w:t>
      </w:r>
      <w:r>
        <w:rPr>
          <w:rFonts w:ascii="Times New Roman" w:eastAsia="方正仿宋_GBK" w:hAnsi="Times New Roman"/>
          <w:sz w:val="32"/>
          <w:szCs w:val="32"/>
        </w:rPr>
        <w:t>7.69</w:t>
      </w:r>
      <w:r>
        <w:rPr>
          <w:rFonts w:ascii="Times New Roman" w:eastAsia="方正仿宋_GBK" w:hAnsi="Times New Roman" w:hint="eastAsia"/>
          <w:sz w:val="32"/>
          <w:szCs w:val="32"/>
        </w:rPr>
        <w:t>%。</w:t>
      </w:r>
    </w:p>
    <w:p>
      <w:pPr>
        <w:pStyle w:val="65"/>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（2）购房补贴（项）2026年预算</w:t>
      </w:r>
      <w:r>
        <w:rPr>
          <w:rFonts w:ascii="Times New Roman" w:eastAsia="方正仿宋_GBK" w:hAnsi="Times New Roman"/>
          <w:sz w:val="32"/>
          <w:szCs w:val="32"/>
        </w:rPr>
        <w:t>32.15</w:t>
      </w:r>
      <w:r>
        <w:rPr>
          <w:rFonts w:ascii="Times New Roman" w:eastAsia="方正仿宋_GBK" w:hAnsi="Times New Roman" w:hint="eastAsia"/>
          <w:sz w:val="32"/>
          <w:szCs w:val="32"/>
        </w:rPr>
        <w:t>万元，比2025年执行数减少</w:t>
      </w:r>
      <w:r>
        <w:rPr>
          <w:rFonts w:ascii="Times New Roman" w:eastAsia="方正仿宋_GBK" w:hAnsi="Times New Roman"/>
          <w:sz w:val="32"/>
          <w:szCs w:val="32"/>
        </w:rPr>
        <w:t>5.59</w:t>
      </w:r>
      <w:r>
        <w:rPr>
          <w:rFonts w:ascii="Times New Roman" w:eastAsia="方正仿宋_GBK" w:hAnsi="Times New Roman" w:hint="eastAsia"/>
          <w:sz w:val="32"/>
          <w:szCs w:val="32"/>
        </w:rPr>
        <w:t>万元，减少</w:t>
      </w:r>
      <w:r>
        <w:rPr>
          <w:rFonts w:ascii="Times New Roman" w:eastAsia="方正仿宋_GBK" w:hAnsi="Times New Roman"/>
          <w:sz w:val="32"/>
          <w:szCs w:val="32"/>
        </w:rPr>
        <w:t>14.81</w:t>
      </w:r>
      <w:r>
        <w:rPr>
          <w:rFonts w:ascii="Times New Roman" w:eastAsia="方正仿宋_GBK" w:hAnsi="Times New Roman" w:hint="eastAsia"/>
          <w:sz w:val="32"/>
          <w:szCs w:val="32"/>
        </w:rPr>
        <w:t>%。</w:t>
      </w:r>
    </w:p>
    <w:p>
      <w:pPr>
        <w:spacing w:line="560" w:lineRule="exact"/>
        <w:ind w:firstLineChars="200" w:firstLine="640"/>
        <w:rPr>
          <w:rFonts w:eastAsia="方正黑体_GBK"/>
          <w:sz w:val="32"/>
          <w:szCs w:val="32"/>
        </w:rPr>
      </w:pPr>
      <w:r>
        <w:rPr>
          <w:rFonts w:eastAsia="方正黑体_GBK" w:hint="eastAsia"/>
          <w:sz w:val="32"/>
          <w:szCs w:val="32"/>
        </w:rPr>
        <w:t>六、关于武夷山海关2026年一般公共预算基本支出情况说明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武夷山海关2026年一般公共预算基本支出</w:t>
      </w:r>
      <w:r>
        <w:rPr>
          <w:rFonts w:ascii="Times New Roman" w:eastAsia="方正仿宋_GBK" w:hAnsi="Times New Roman"/>
          <w:sz w:val="32"/>
          <w:szCs w:val="32"/>
        </w:rPr>
        <w:t>614.22</w:t>
      </w:r>
      <w:r>
        <w:rPr>
          <w:rFonts w:ascii="Times New Roman" w:eastAsia="方正仿宋_GBK" w:hAnsi="Times New Roman" w:hint="eastAsia"/>
          <w:sz w:val="32"/>
          <w:szCs w:val="32"/>
        </w:rPr>
        <w:t>万元，其中：</w:t>
      </w:r>
      <w:r>
        <w:rPr>
          <w:rFonts w:ascii="Times New Roman" w:eastAsia="方正仿宋_GBK" w:hAnsi="Times New Roman"/>
          <w:sz w:val="32"/>
          <w:szCs w:val="32"/>
        </w:rPr>
        <w:t xml:space="preserve"> </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Pr>
          <w:rFonts w:ascii="Times New Roman" w:eastAsia="方正仿宋_GBK" w:hAnsi="Times New Roman"/>
          <w:sz w:val="32"/>
          <w:szCs w:val="32"/>
        </w:rPr>
        <w:t>470.72</w:t>
      </w:r>
      <w:r>
        <w:rPr>
          <w:rFonts w:ascii="Times New Roman" w:eastAsia="方正仿宋_GBK" w:hAnsi="Times New Roman" w:hint="eastAsia"/>
          <w:sz w:val="32"/>
          <w:szCs w:val="32"/>
        </w:rPr>
        <w:t>万元，主要包括：基本工资、津贴补贴、奖金、机关事业单位基本养老保险缴费、职业年金缴费、职工基本医疗保险缴费、公务员医疗补助缴费、其他社会保障缴费、住房公积金、其他工资福利支出；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Pr>
          <w:rFonts w:ascii="Times New Roman" w:eastAsia="方正仿宋_GBK" w:hAnsi="Times New Roman"/>
          <w:sz w:val="32"/>
          <w:szCs w:val="32"/>
        </w:rPr>
        <w:t>143.50</w:t>
      </w:r>
      <w:r>
        <w:rPr>
          <w:rFonts w:ascii="Times New Roman" w:eastAsia="方正仿宋_GBK" w:hAnsi="Times New Roman" w:hint="eastAsia"/>
          <w:sz w:val="32"/>
          <w:szCs w:val="32"/>
        </w:rPr>
        <w:t>万元，主要包括：办公费、水费、电费、邮电费、物业管理费、差旅费、维修（护）费、公务接待费、专用材料费、劳务费、工会经费、公务用车运行维护费、其他商品和服务支出、办公设备购置。</w:t>
      </w:r>
    </w:p>
    <w:p>
      <w:pPr>
        <w:pStyle w:val="18"/>
        <w:spacing w:line="560" w:lineRule="exact"/>
        <w:ind w:firstLineChars="200" w:firstLine="640"/>
        <w:rPr>
          <w:rFonts w:eastAsia="方正黑体_GBK"/>
          <w:sz w:val="32"/>
          <w:szCs w:val="32"/>
        </w:rPr>
      </w:pPr>
      <w:r>
        <w:rPr>
          <w:rFonts w:eastAsia="方正黑体_GBK" w:hint="eastAsia"/>
          <w:sz w:val="32"/>
          <w:szCs w:val="32"/>
        </w:rPr>
        <w:t>七、关于武夷山海关2026年“三公”经费预算情况说明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武夷山海关2026年“三公”经费预算数为</w:t>
      </w:r>
      <w:r>
        <w:rPr>
          <w:rFonts w:ascii="Times New Roman" w:eastAsia="方正仿宋_GBK" w:hAnsi="Times New Roman"/>
          <w:sz w:val="32"/>
          <w:szCs w:val="32"/>
        </w:rPr>
        <w:t>37.48</w:t>
      </w:r>
      <w:r>
        <w:rPr>
          <w:rFonts w:ascii="Times New Roman" w:eastAsia="方正仿宋_GBK" w:hAnsi="Times New Roman" w:hint="eastAsia"/>
          <w:sz w:val="32"/>
          <w:szCs w:val="32"/>
        </w:rPr>
        <w:t>万元，比2025年预算数</w:t>
      </w:r>
      <w:r>
        <w:rPr>
          <w:rFonts w:ascii="Times New Roman" w:eastAsia="方正仿宋_GBK" w:hAnsi="Times New Roman"/>
          <w:sz w:val="32"/>
          <w:szCs w:val="32"/>
        </w:rPr>
        <w:t>增加18.90</w:t>
      </w:r>
      <w:r>
        <w:rPr>
          <w:rFonts w:ascii="Times New Roman" w:eastAsia="方正仿宋_GBK" w:hAnsi="Times New Roman" w:hint="eastAsia"/>
          <w:sz w:val="32"/>
          <w:szCs w:val="32"/>
        </w:rPr>
        <w:t>万元，</w:t>
      </w:r>
      <w:r>
        <w:rPr>
          <w:rFonts w:ascii="Times New Roman" w:eastAsia="方正仿宋_GBK" w:hAnsi="Times New Roman"/>
          <w:sz w:val="32"/>
          <w:szCs w:val="32"/>
        </w:rPr>
        <w:t>增加101.72</w:t>
      </w:r>
      <w:r>
        <w:rPr>
          <w:rFonts w:ascii="Times New Roman" w:eastAsia="方正仿宋_GBK" w:hAnsi="Times New Roman" w:hint="eastAsia"/>
          <w:sz w:val="32"/>
          <w:szCs w:val="32"/>
        </w:rPr>
        <w:t>%。其中：因公出国（境）费0万元；公务用车购置费</w:t>
      </w:r>
      <w:r>
        <w:rPr>
          <w:rFonts w:ascii="Times New Roman" w:eastAsia="方正仿宋_GBK" w:hAnsi="Times New Roman"/>
          <w:sz w:val="32"/>
          <w:szCs w:val="32"/>
        </w:rPr>
        <w:t>18.90</w:t>
      </w:r>
      <w:r>
        <w:rPr>
          <w:rFonts w:ascii="Times New Roman" w:eastAsia="方正仿宋_GBK" w:hAnsi="Times New Roman" w:hint="eastAsia"/>
          <w:sz w:val="32"/>
          <w:szCs w:val="32"/>
        </w:rPr>
        <w:t>万元，比2025年预算数</w:t>
      </w:r>
      <w:r>
        <w:rPr>
          <w:rFonts w:ascii="Times New Roman" w:eastAsia="方正仿宋_GBK" w:hAnsi="Times New Roman"/>
          <w:sz w:val="32"/>
          <w:szCs w:val="32"/>
        </w:rPr>
        <w:t>增加18.90</w:t>
      </w:r>
      <w:r>
        <w:rPr>
          <w:rFonts w:ascii="Times New Roman" w:eastAsia="方正仿宋_GBK" w:hAnsi="Times New Roman" w:hint="eastAsia"/>
          <w:sz w:val="32"/>
          <w:szCs w:val="32"/>
        </w:rPr>
        <w:t>万元；公务用车运行费18.38万元，与2025年预算数持平；公务接待费0.20万元，与2025年预算数持平。</w:t>
      </w:r>
    </w:p>
    <w:p>
      <w:pPr>
        <w:pStyle w:val="18"/>
        <w:spacing w:line="560" w:lineRule="exact"/>
        <w:ind w:firstLineChars="200" w:firstLine="640"/>
        <w:rPr>
          <w:rFonts w:eastAsia="方正黑体_GBK"/>
          <w:sz w:val="32"/>
          <w:szCs w:val="32"/>
        </w:rPr>
      </w:pPr>
      <w:r>
        <w:rPr>
          <w:rFonts w:eastAsia="方正黑体_GBK" w:hint="eastAsia"/>
          <w:sz w:val="32"/>
          <w:szCs w:val="32"/>
        </w:rPr>
        <w:t>八、关于武夷山海关2026年政府性基金预算收支情况说明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武夷山海关2026年无政府性基金预算收支。</w:t>
      </w:r>
    </w:p>
    <w:p>
      <w:pPr>
        <w:pStyle w:val="18"/>
        <w:spacing w:line="560" w:lineRule="exact"/>
        <w:ind w:firstLineChars="200" w:firstLine="640"/>
        <w:rPr>
          <w:rFonts w:eastAsia="方正黑体_GBK"/>
          <w:sz w:val="32"/>
          <w:szCs w:val="32"/>
        </w:rPr>
      </w:pPr>
      <w:r>
        <w:rPr>
          <w:rFonts w:eastAsia="方正黑体_GBK" w:hint="eastAsia"/>
          <w:sz w:val="32"/>
          <w:szCs w:val="32"/>
        </w:rPr>
        <w:t>九、关于武夷山海关2026年国有资本经营预算收支情况说明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武夷山海关2026年无国有资本经营预算收支。</w:t>
      </w:r>
    </w:p>
    <w:p>
      <w:pPr>
        <w:pStyle w:val="1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2026年武夷山海关机关运行经费财政拨款预</w:t>
      </w:r>
      <w:r>
        <w:rPr>
          <w:rFonts w:ascii="Times New Roman" w:eastAsia="方正仿宋_GBK" w:hAnsi="Times New Roman" w:hint="eastAsia"/>
          <w:color w:val="000000"/>
          <w:sz w:val="32"/>
          <w:szCs w:val="32"/>
        </w:rPr>
        <w:t>算</w:t>
      </w:r>
      <w:r>
        <w:rPr>
          <w:rFonts w:ascii="Times New Roman" w:eastAsia="方正仿宋_GBK" w:hAnsi="Times New Roman"/>
          <w:color w:val="000000"/>
          <w:sz w:val="32"/>
          <w:szCs w:val="32"/>
        </w:rPr>
        <w:t>143.50</w:t>
      </w:r>
      <w:r>
        <w:rPr>
          <w:rFonts w:ascii="Times New Roman" w:eastAsia="方正仿宋_GBK" w:hAnsi="Times New Roman" w:hint="eastAsia"/>
          <w:sz w:val="32"/>
          <w:szCs w:val="32"/>
        </w:rPr>
        <w:t>万元，较2025年执行数</w:t>
      </w:r>
      <w:r>
        <w:rPr>
          <w:rFonts w:ascii="Times New Roman" w:eastAsia="方正仿宋_GBK" w:hAnsi="Times New Roman" w:hint="eastAsia"/>
          <w:color w:val="000000"/>
          <w:sz w:val="32"/>
          <w:szCs w:val="32"/>
        </w:rPr>
        <w:t>137.83</w:t>
      </w:r>
      <w:r>
        <w:rPr>
          <w:rFonts w:ascii="Times New Roman" w:eastAsia="方正仿宋_GBK" w:hAnsi="Times New Roman" w:hint="eastAsia"/>
          <w:sz w:val="32"/>
          <w:szCs w:val="32"/>
        </w:rPr>
        <w:t>万元</w:t>
      </w:r>
      <w:r>
        <w:rPr>
          <w:rFonts w:ascii="Times New Roman" w:eastAsia="方正仿宋_GBK" w:hAnsi="Times New Roman"/>
          <w:sz w:val="32"/>
          <w:szCs w:val="32"/>
        </w:rPr>
        <w:t>增加</w:t>
      </w:r>
      <w:r>
        <w:rPr>
          <w:rFonts w:ascii="Times New Roman" w:eastAsia="方正仿宋_GBK" w:hAnsi="Times New Roman"/>
          <w:color w:val="000000"/>
          <w:sz w:val="32"/>
          <w:szCs w:val="32"/>
        </w:rPr>
        <w:t>5.67</w:t>
      </w:r>
      <w:r>
        <w:rPr>
          <w:rFonts w:ascii="Times New Roman" w:eastAsia="方正仿宋_GBK" w:hAnsi="Times New Roman" w:hint="eastAsia"/>
          <w:color w:val="000000"/>
          <w:sz w:val="32"/>
          <w:szCs w:val="32"/>
        </w:rPr>
        <w:t>万元，</w:t>
      </w:r>
      <w:r>
        <w:rPr>
          <w:rFonts w:ascii="Times New Roman" w:eastAsia="方正仿宋_GBK" w:hAnsi="Times New Roman"/>
          <w:color w:val="000000"/>
          <w:sz w:val="32"/>
          <w:szCs w:val="32"/>
        </w:rPr>
        <w:t>增加4.11</w:t>
      </w:r>
      <w:r>
        <w:rPr>
          <w:rFonts w:ascii="Times New Roman" w:eastAsia="方正仿宋_GBK" w:hAnsi="Times New Roman" w:hint="eastAsia"/>
          <w:color w:val="000000"/>
          <w:sz w:val="32"/>
          <w:szCs w:val="32"/>
        </w:rPr>
        <w:t>%。</w:t>
      </w:r>
      <w:r>
        <w:rPr>
          <w:rFonts w:ascii="Times New Roman" w:eastAsia="方正仿宋_GBK" w:hAnsi="Times New Roman" w:hint="eastAsia"/>
          <w:sz w:val="32"/>
          <w:szCs w:val="32"/>
        </w:rPr>
        <w:t>主要是</w:t>
      </w:r>
      <w:r>
        <w:rPr>
          <w:rFonts w:ascii="Times New Roman" w:eastAsia="方正仿宋_GBK" w:hAnsi="Times New Roman"/>
          <w:sz w:val="32"/>
          <w:szCs w:val="32"/>
        </w:rPr>
        <w:t>办公设备购置增加</w:t>
      </w:r>
      <w:r>
        <w:rPr>
          <w:rFonts w:ascii="Times New Roman" w:eastAsia="方正仿宋_GBK" w:hAnsi="Times New Roman" w:hint="eastAsia"/>
          <w:sz w:val="32"/>
          <w:szCs w:val="32"/>
        </w:rPr>
        <w:t>。</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2026年武夷山海关采购预算总额</w:t>
      </w:r>
      <w:r>
        <w:rPr>
          <w:rFonts w:ascii="Times New Roman" w:eastAsia="方正仿宋_GBK" w:hAnsi="Times New Roman"/>
          <w:sz w:val="32"/>
          <w:szCs w:val="32"/>
        </w:rPr>
        <w:t>19.50</w:t>
      </w:r>
      <w:r>
        <w:rPr>
          <w:rFonts w:ascii="Times New Roman" w:eastAsia="方正仿宋_GBK" w:hAnsi="Times New Roman" w:hint="eastAsia"/>
          <w:sz w:val="32"/>
          <w:szCs w:val="32"/>
        </w:rPr>
        <w:t>万元，其中：政府采购货物预算</w:t>
      </w:r>
      <w:r>
        <w:rPr>
          <w:rFonts w:ascii="Times New Roman" w:eastAsia="方正仿宋_GBK" w:hAnsi="Times New Roman"/>
          <w:sz w:val="32"/>
          <w:szCs w:val="32"/>
        </w:rPr>
        <w:t>19.50</w:t>
      </w:r>
      <w:r>
        <w:rPr>
          <w:rFonts w:ascii="Times New Roman" w:eastAsia="方正仿宋_GBK" w:hAnsi="Times New Roman" w:hint="eastAsia"/>
          <w:sz w:val="32"/>
          <w:szCs w:val="32"/>
        </w:rPr>
        <w:t>万元。</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截至2025年8月31日，武夷山海关共有车辆</w:t>
      </w:r>
      <w:r>
        <w:rPr>
          <w:rFonts w:ascii="Times New Roman" w:eastAsia="方正仿宋_GBK" w:hAnsi="Times New Roman"/>
          <w:color w:val="000000"/>
          <w:sz w:val="32"/>
          <w:szCs w:val="32"/>
        </w:rPr>
        <w:t>6</w:t>
      </w:r>
      <w:r>
        <w:rPr>
          <w:rFonts w:ascii="Times New Roman" w:eastAsia="方正仿宋_GBK" w:hAnsi="Times New Roman" w:hint="eastAsia"/>
          <w:color w:val="000000"/>
          <w:sz w:val="32"/>
          <w:szCs w:val="32"/>
        </w:rPr>
        <w:t>辆，其中，</w:t>
      </w:r>
      <w:r>
        <w:rPr>
          <w:rFonts w:ascii="Times New Roman" w:eastAsia="方正仿宋_GBK" w:hAnsi="Times New Roman"/>
          <w:color w:val="000000"/>
          <w:sz w:val="32"/>
          <w:szCs w:val="32"/>
        </w:rPr>
        <w:t>应急保障用车1</w:t>
      </w:r>
      <w:r>
        <w:rPr>
          <w:rFonts w:ascii="Times New Roman" w:eastAsia="方正仿宋_GBK" w:hAnsi="Times New Roman" w:hint="eastAsia"/>
          <w:color w:val="000000"/>
          <w:sz w:val="32"/>
          <w:szCs w:val="32"/>
        </w:rPr>
        <w:t>辆、执法执勤用车</w:t>
      </w:r>
      <w:r>
        <w:rPr>
          <w:rFonts w:ascii="Times New Roman" w:eastAsia="方正仿宋_GBK" w:hAnsi="Times New Roman"/>
          <w:color w:val="000000"/>
          <w:sz w:val="32"/>
          <w:szCs w:val="32"/>
        </w:rPr>
        <w:t>5</w:t>
      </w:r>
      <w:r>
        <w:rPr>
          <w:rFonts w:ascii="Times New Roman" w:eastAsia="方正仿宋_GBK" w:hAnsi="Times New Roman" w:hint="eastAsia"/>
          <w:color w:val="000000"/>
          <w:sz w:val="32"/>
          <w:szCs w:val="32"/>
        </w:rPr>
        <w:t>辆。</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2026年部门预算安排购置车辆</w:t>
      </w:r>
      <w:r>
        <w:rPr>
          <w:rFonts w:ascii="Times New Roman" w:eastAsia="方正仿宋_GBK" w:hAnsi="Times New Roman"/>
          <w:sz w:val="32"/>
          <w:szCs w:val="32"/>
        </w:rPr>
        <w:t>1</w:t>
      </w:r>
      <w:r>
        <w:rPr>
          <w:rFonts w:ascii="Times New Roman" w:eastAsia="方正仿宋_GBK" w:hAnsi="Times New Roman" w:hint="eastAsia"/>
          <w:sz w:val="32"/>
          <w:szCs w:val="32"/>
        </w:rPr>
        <w:t>辆，其中执法执勤用车</w:t>
      </w:r>
      <w:r>
        <w:rPr>
          <w:rFonts w:ascii="Times New Roman" w:eastAsia="方正仿宋_GBK" w:hAnsi="Times New Roman"/>
          <w:sz w:val="32"/>
          <w:szCs w:val="32"/>
        </w:rPr>
        <w:t>1</w:t>
      </w:r>
      <w:r>
        <w:rPr>
          <w:rFonts w:ascii="Times New Roman" w:eastAsia="方正仿宋_GBK" w:hAnsi="Times New Roman" w:hint="eastAsia"/>
          <w:sz w:val="32"/>
          <w:szCs w:val="32"/>
        </w:rPr>
        <w:t>辆；租用土地</w:t>
      </w:r>
      <w:r>
        <w:rPr>
          <w:rFonts w:ascii="Times New Roman" w:eastAsia="方正仿宋_GBK" w:cs="Times New Roman" w:hAnsi="Times New Roman"/>
          <w:sz w:val="32"/>
          <w:szCs w:val="32"/>
        </w:rPr>
        <w:t>0</w:t>
      </w:r>
      <w:r>
        <w:rPr>
          <w:rFonts w:ascii="Times New Roman" w:eastAsia="方正仿宋_GBK" w:hAnsi="Times New Roman" w:hint="eastAsia"/>
          <w:sz w:val="32"/>
          <w:szCs w:val="32"/>
        </w:rPr>
        <w:t>平方米；租用房屋0平方米；单位价值100万元以上的设备0台（套）。</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2026年对武夷山海关一般公共预算拨款项目全面实施绩效目标管理，涉及一般公共预算当年拨款</w:t>
      </w:r>
      <w:r>
        <w:rPr>
          <w:rFonts w:ascii="Times New Roman" w:eastAsia="方正仿宋_GBK" w:hAnsi="Times New Roman"/>
          <w:sz w:val="32"/>
          <w:szCs w:val="32"/>
        </w:rPr>
        <w:t>98.47</w:t>
      </w:r>
      <w:r>
        <w:rPr>
          <w:rFonts w:ascii="Times New Roman" w:eastAsia="方正仿宋_GBK" w:hAnsi="Times New Roman" w:hint="eastAsia"/>
          <w:sz w:val="32"/>
          <w:szCs w:val="32"/>
        </w:rPr>
        <w:t>万元，一级项目3个，二级项目7个。</w:t>
      </w: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宋体" w:hint="eastAsia"/>
          <w:b/>
          <w:sz w:val="84"/>
          <w:szCs w:val="84"/>
        </w:rPr>
      </w:pPr>
      <w:r>
        <w:rPr>
          <w:rFonts w:ascii="宋体" w:hint="eastAsia"/>
          <w:b/>
          <w:sz w:val="84"/>
          <w:szCs w:val="84"/>
        </w:rPr>
        <w:t xml:space="preserve">第四部分  </w:t>
      </w:r>
    </w:p>
    <w:p>
      <w:pPr>
        <w:jc w:val="center"/>
        <w:rPr>
          <w:rFonts w:ascii="宋体" w:hint="eastAsia"/>
          <w:b/>
          <w:sz w:val="84"/>
          <w:szCs w:val="84"/>
        </w:rPr>
      </w:pPr>
      <w:r>
        <w:rPr>
          <w:rFonts w:ascii="宋体" w:hint="eastAsia"/>
          <w:b/>
          <w:sz w:val="84"/>
          <w:szCs w:val="84"/>
        </w:rPr>
        <w:t>名词解释</w:t>
      </w:r>
    </w:p>
    <w:p>
      <w:pPr>
        <w:rPr>
          <w:rFonts w:ascii="Times New Roman" w:hAnsi="Times New Roman"/>
          <w:b/>
          <w:sz w:val="84"/>
          <w:szCs w:val="84"/>
        </w:rPr>
        <w:sectPr>
          <w:pgSz w:w="11906" w:h="16838"/>
          <w:pgMar w:top="1440" w:right="1800" w:bottom="1440" w:left="1800" w:header="851" w:footer="992" w:gutter="0"/>
          <w:docGrid w:type="lines" w:linePitch="312" w:charSpace="0"/>
        </w:sectPr>
      </w:pP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一、一般公共预算拨款收入</w:t>
      </w:r>
      <w:r>
        <w:rPr>
          <w:rFonts w:ascii="Times New Roman" w:eastAsia="方正仿宋_GBK" w:hAnsi="Times New Roman" w:hint="eastAsia"/>
          <w:sz w:val="32"/>
          <w:szCs w:val="32"/>
        </w:rPr>
        <w:t>：指中央财政当年拨付的资金。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二、其他收入</w:t>
      </w:r>
      <w:r>
        <w:rPr>
          <w:rFonts w:ascii="Times New Roman" w:eastAsia="方正仿宋_GBK" w:hAnsi="Times New Roman" w:hint="eastAsia"/>
          <w:sz w:val="32"/>
          <w:szCs w:val="32"/>
        </w:rPr>
        <w:t>：指海关系统取得的除上述财政拨款收入、事业收入、事业单位经营收入等以外的收入。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三、上年结转</w:t>
      </w:r>
      <w:r>
        <w:rPr>
          <w:rFonts w:ascii="Times New Roman" w:eastAsia="方正仿宋_GBK" w:hAnsi="Times New Roman" w:hint="eastAsia"/>
          <w:sz w:val="32"/>
          <w:szCs w:val="32"/>
        </w:rPr>
        <w:t>：指以前年度尚未完成、结转到本年仍按原规定用途继续使用的资金等。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四、一般公共服务支出（类）海关事务（款）</w:t>
      </w:r>
      <w:r>
        <w:rPr>
          <w:rFonts w:ascii="Times New Roman" w:eastAsia="方正仿宋_GBK" w:hAnsi="Times New Roman" w:hint="eastAsia"/>
          <w:sz w:val="32"/>
          <w:szCs w:val="32"/>
        </w:rPr>
        <w:t>：反映海关用于系统行政和事业单位的基本支出及完成专项业务工作的项目支出。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（二）缉私办案（项）</w:t>
      </w:r>
      <w:r>
        <w:rPr>
          <w:rFonts w:ascii="Times New Roman" w:eastAsia="方正仿宋_GBK" w:hAnsi="Times New Roman" w:hint="eastAsia"/>
          <w:sz w:val="32"/>
          <w:szCs w:val="32"/>
        </w:rPr>
        <w:t>：反映海关用于缉私办案方面的支出。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（四）海关监管（项）</w:t>
      </w:r>
      <w:r>
        <w:rPr>
          <w:rFonts w:ascii="Times New Roman" w:eastAsia="方正仿宋_GBK" w:hAnsi="Times New Roman" w:hint="eastAsia"/>
          <w:sz w:val="32"/>
          <w:szCs w:val="32"/>
        </w:rPr>
        <w:t>：反映海关系统用于监管执法、业务管理及相关设备、技术支持方面的支出。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（五）检验检疫（项）</w:t>
      </w:r>
      <w:r>
        <w:rPr>
          <w:rFonts w:ascii="Times New Roman" w:eastAsia="方正仿宋_GBK" w:hAnsi="Times New Roman" w:hint="eastAsia"/>
          <w:sz w:val="32"/>
          <w:szCs w:val="32"/>
        </w:rPr>
        <w:t>：反映海关系统用于出入境检验检疫行政执法、业务管理及相关技术支持方面的支出。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五、社会保障和就业支出（类）行政事业单位养老支出（款）</w:t>
      </w:r>
      <w:r>
        <w:rPr>
          <w:rFonts w:ascii="Times New Roman" w:eastAsia="方正仿宋_GBK" w:hAnsi="Times New Roman" w:hint="eastAsia"/>
          <w:sz w:val="32"/>
          <w:szCs w:val="32"/>
        </w:rPr>
        <w:t>：反映用于海关行政事业单位养老方面的支出。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（二）机关事业单位基本养老保险缴费支出（项）</w:t>
      </w:r>
      <w:r>
        <w:rPr>
          <w:rFonts w:ascii="Times New Roman" w:eastAsia="方正仿宋_GBK" w:hAnsi="Times New Roman" w:hint="eastAsia"/>
          <w:sz w:val="32"/>
          <w:szCs w:val="32"/>
        </w:rPr>
        <w:t>：反映已参加当地社保的在职人员的基本养老保险支出。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（三）机关事业单位职业年金缴费支出（项）</w:t>
      </w:r>
      <w:r>
        <w:rPr>
          <w:rFonts w:ascii="Times New Roman" w:eastAsia="方正仿宋_GBK" w:hAnsi="Times New Roman" w:hint="eastAsia"/>
          <w:sz w:val="32"/>
          <w:szCs w:val="32"/>
        </w:rPr>
        <w:t>：反映已参加当地社保的在职人员的职业年金支出。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六、住房保障支出（类）住房改革支出（款）</w:t>
      </w:r>
      <w:r>
        <w:rPr>
          <w:rFonts w:ascii="Times New Roman" w:eastAsia="方正仿宋_GBK" w:hAnsi="Times New Roman" w:hint="eastAsia"/>
          <w:sz w:val="32"/>
          <w:szCs w:val="32"/>
        </w:rPr>
        <w:t>：反映海关系统按照国家政策规定为职工发放的住房公积金、提租补贴和购房补贴等支出：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（二）购房补贴（项）</w:t>
      </w:r>
      <w:r>
        <w:rPr>
          <w:rFonts w:ascii="Times New Roman" w:eastAsia="方正仿宋_GBK" w:hAnsi="Times New Roman"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关于完善在京中央和国家机关住房制度的若干意见〉的通知》（厅字〔2005〕8号）规定的标准执行，京外中央单位按照所在地人民政府住房分配货币化改革的政策规定和标准执行。</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七、卫生健康支出（类）行政事业单位医疗（款）</w:t>
      </w:r>
      <w:r>
        <w:rPr>
          <w:rFonts w:ascii="Times New Roman" w:eastAsia="方正仿宋_GBK" w:hAnsi="Times New Roman" w:hint="eastAsia"/>
          <w:sz w:val="32"/>
          <w:szCs w:val="32"/>
        </w:rPr>
        <w:t>：反映已参加当地医保的海关单位用于向地方社保部门缴纳的基本医疗保险和公务员医疗补助支出。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八、“三公”经费</w:t>
      </w:r>
      <w:r>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九、机关运行经费</w:t>
      </w:r>
      <w:r>
        <w:rPr>
          <w:rFonts w:ascii="Times New Roman" w:eastAsia="方正仿宋_GBK" w:hAnsi="Times New Roman" w:hint="eastAsia"/>
          <w:sz w:val="32"/>
          <w:szCs w:val="32"/>
        </w:rPr>
        <w:t>：为保障行政单位（包括参照公务员法管理事业单位）运行用于购买货物和服务的各项资金，包括办公费、邮电费、差旅费、福利费、日常维修费、一般设备购置费、办公用房水电费、办公用房物业管理费、公务用车运行维护费以及其他费用。</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Times New Roman" w:hAnsi="Times New Roman"/>
          <w:b/>
          <w:sz w:val="84"/>
          <w:szCs w:val="84"/>
        </w:rPr>
      </w:pPr>
      <w:r>
        <w:rPr>
          <w:rFonts w:ascii="Times New Roman" w:hAnsi="Times New Roman" w:hint="eastAsia"/>
          <w:b/>
          <w:sz w:val="84"/>
          <w:szCs w:val="84"/>
        </w:rPr>
        <w:t>第五部分</w:t>
      </w:r>
    </w:p>
    <w:p>
      <w:pPr>
        <w:jc w:val="center"/>
        <w:rPr>
          <w:rFonts w:ascii="Times New Roman" w:hAnsi="Times New Roman"/>
          <w:b/>
          <w:sz w:val="84"/>
          <w:szCs w:val="84"/>
        </w:rPr>
      </w:pPr>
      <w:r>
        <w:rPr>
          <w:rFonts w:ascii="Times New Roman" w:hAnsi="Times New Roman" w:hint="eastAsia"/>
          <w:b/>
          <w:sz w:val="84"/>
          <w:szCs w:val="84"/>
        </w:rPr>
        <w:t>附件</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left"/>
        <w:tblInd w:w="69" w:type="dxa"/>
        <w:tblW w:w="4958"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02"/>
        <w:gridCol w:w="1095"/>
        <w:gridCol w:w="1484"/>
        <w:gridCol w:w="600"/>
        <w:gridCol w:w="2143"/>
        <w:gridCol w:w="1052"/>
        <w:gridCol w:w="1275"/>
      </w:tblGrid>
      <w:tr>
        <w:trPr>
          <w:trHeight w:val="702"/>
        </w:trPr>
        <w:tc>
          <w:tcPr>
            <w:tcW w:w="5000" w:type="pct"/>
            <w:gridSpan w:val="7"/>
            <w:tcBorders>
              <w:top w:val="nil"/>
              <w:left w:val="nil"/>
              <w:bottom w:val="nil"/>
              <w:right w:val="nil"/>
            </w:tcBorders>
            <w:shd w:val="clear" w:color="auto" w:fill="auto"/>
            <w:vAlign w:val="center"/>
          </w:tcPr>
          <w:p>
            <w:pPr>
              <w:jc w:val="center"/>
              <w:rPr>
                <w:rFonts w:ascii="黑体" w:eastAsia="黑体" w:cs="宋体"/>
                <w:sz w:val="40"/>
                <w:szCs w:val="40"/>
              </w:rPr>
            </w:pPr>
            <w:r>
              <w:rPr>
                <w:rFonts w:ascii="黑体" w:eastAsia="黑体" w:hint="eastAsia"/>
                <w:sz w:val="40"/>
                <w:szCs w:val="40"/>
              </w:rPr>
              <w:t>口岸公共卫生安全专项项目绩效目标表</w:t>
            </w:r>
          </w:p>
        </w:tc>
      </w:tr>
      <w:tr>
        <w:trPr>
          <w:trHeight w:val="499"/>
        </w:trPr>
        <w:tc>
          <w:tcPr>
            <w:tcW w:w="5000" w:type="pct"/>
            <w:gridSpan w:val="7"/>
            <w:tcBorders>
              <w:top w:val="nil"/>
              <w:left w:val="nil"/>
              <w:bottom w:val="nil"/>
              <w:right w:val="nil"/>
            </w:tcBorders>
            <w:shd w:val="clear" w:color="auto" w:fill="auto"/>
          </w:tcPr>
          <w:p>
            <w:pPr>
              <w:jc w:val="center"/>
              <w:rPr>
                <w:rFonts w:ascii="宋体" w:cs="宋体"/>
                <w:sz w:val="24"/>
                <w:szCs w:val="24"/>
              </w:rPr>
            </w:pPr>
            <w:r>
              <w:rPr>
                <w:rFonts w:hint="eastAsia"/>
                <w:sz w:val="24"/>
                <w:szCs w:val="24"/>
              </w:rPr>
              <w:t>（</w:t>
            </w:r>
            <w:r>
              <w:rPr>
                <w:rFonts w:ascii="Times New Roman" w:cs="Times New Roman" w:hAnsi="Times New Roman"/>
                <w:sz w:val="24"/>
                <w:szCs w:val="24"/>
              </w:rPr>
              <w:t>2026</w:t>
            </w:r>
            <w:r>
              <w:rPr>
                <w:rFonts w:hint="eastAsia"/>
                <w:sz w:val="24"/>
                <w:szCs w:val="24"/>
              </w:rPr>
              <w:t>年度）</w:t>
            </w:r>
          </w:p>
        </w:tc>
      </w:tr>
      <w:tr>
        <w:trPr>
          <w:trHeight w:val="439"/>
        </w:trPr>
        <w:tc>
          <w:tcPr>
            <w:tcW w:w="11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项目名称</w:t>
            </w:r>
          </w:p>
        </w:tc>
        <w:tc>
          <w:tcPr>
            <w:tcW w:w="3877" w:type="pct"/>
            <w:gridSpan w:val="5"/>
            <w:tcBorders>
              <w:top w:val="single" w:sz="4" w:space="0" w:color="auto"/>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口岸公共卫生安全专项</w:t>
            </w:r>
          </w:p>
        </w:tc>
      </w:tr>
      <w:tr>
        <w:trPr>
          <w:trHeight w:val="439"/>
        </w:trPr>
        <w:tc>
          <w:tcPr>
            <w:tcW w:w="11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主管部门及代码</w:t>
            </w:r>
          </w:p>
        </w:tc>
        <w:tc>
          <w:tcPr>
            <w:tcW w:w="1233" w:type="pct"/>
            <w:gridSpan w:val="2"/>
            <w:tcBorders>
              <w:top w:val="single" w:sz="4" w:space="0" w:color="auto"/>
              <w:left w:val="nil"/>
              <w:bottom w:val="single" w:sz="4" w:space="0" w:color="auto"/>
              <w:right w:val="nil"/>
            </w:tcBorders>
            <w:shd w:val="clear" w:color="auto" w:fill="auto"/>
            <w:vAlign w:val="center"/>
          </w:tcPr>
          <w:p>
            <w:pPr>
              <w:jc w:val="center"/>
              <w:rPr>
                <w:rFonts w:ascii="宋体" w:cs="宋体"/>
                <w:sz w:val="22"/>
              </w:rPr>
            </w:pPr>
            <w:r>
              <w:rPr>
                <w:rFonts w:hint="eastAsia"/>
                <w:sz w:val="22"/>
              </w:rPr>
              <w:t>[</w:t>
            </w:r>
            <w:r>
              <w:rPr>
                <w:rFonts w:ascii="Times New Roman" w:cs="Times New Roman" w:hAnsi="Times New Roman"/>
                <w:sz w:val="22"/>
              </w:rPr>
              <w:t>167</w:t>
            </w:r>
            <w:r>
              <w:rPr>
                <w:rFonts w:hint="eastAsia"/>
                <w:sz w:val="22"/>
              </w:rPr>
              <w:t>]海关总署</w:t>
            </w:r>
          </w:p>
        </w:tc>
        <w:tc>
          <w:tcPr>
            <w:tcW w:w="1268"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实施单位</w:t>
            </w:r>
          </w:p>
        </w:tc>
        <w:tc>
          <w:tcPr>
            <w:tcW w:w="1376" w:type="pct"/>
            <w:gridSpan w:val="2"/>
            <w:tcBorders>
              <w:top w:val="single" w:sz="4" w:space="0" w:color="auto"/>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中华人民共和国武夷山海关</w:t>
            </w:r>
          </w:p>
        </w:tc>
      </w:tr>
      <w:tr>
        <w:trPr>
          <w:trHeight w:val="439"/>
        </w:trPr>
        <w:tc>
          <w:tcPr>
            <w:tcW w:w="112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jc w:val="center"/>
              <w:rPr>
                <w:rFonts w:ascii="宋体" w:cs="宋体"/>
                <w:sz w:val="22"/>
              </w:rPr>
            </w:pPr>
            <w:r>
              <w:rPr>
                <w:rFonts w:hint="eastAsia"/>
                <w:sz w:val="22"/>
              </w:rPr>
              <w:t>项目资金</w:t>
              <w:br/>
              <w:t>（万元）</w:t>
            </w:r>
          </w:p>
        </w:tc>
        <w:tc>
          <w:tcPr>
            <w:tcW w:w="1233" w:type="pct"/>
            <w:gridSpan w:val="2"/>
            <w:tcBorders>
              <w:top w:val="single" w:sz="4" w:space="0" w:color="auto"/>
              <w:left w:val="nil"/>
              <w:bottom w:val="single" w:sz="4" w:space="0" w:color="auto"/>
              <w:right w:val="nil"/>
            </w:tcBorders>
            <w:shd w:val="clear" w:color="auto" w:fill="auto"/>
            <w:vAlign w:val="center"/>
          </w:tcPr>
          <w:p>
            <w:pPr>
              <w:rPr>
                <w:rFonts w:ascii="宋体" w:cs="宋体"/>
                <w:sz w:val="22"/>
              </w:rPr>
            </w:pPr>
            <w:r>
              <w:rPr>
                <w:rFonts w:hint="eastAsia"/>
                <w:sz w:val="22"/>
              </w:rPr>
              <w:t xml:space="preserve"> 年度资金总额：</w:t>
            </w:r>
          </w:p>
        </w:tc>
        <w:tc>
          <w:tcPr>
            <w:tcW w:w="18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宋体" w:cs="宋体"/>
                <w:sz w:val="22"/>
              </w:rPr>
            </w:pPr>
            <w:r>
              <w:rPr>
                <w:rFonts w:hint="eastAsia"/>
                <w:sz w:val="22"/>
              </w:rPr>
              <w:t xml:space="preserve"> </w:t>
            </w:r>
            <w:r>
              <w:rPr>
                <w:rFonts w:ascii="Times New Roman" w:cs="Times New Roman" w:hAnsi="Times New Roman"/>
                <w:sz w:val="22"/>
              </w:rPr>
              <w:t xml:space="preserve">3.00 </w:t>
            </w:r>
          </w:p>
        </w:tc>
        <w:tc>
          <w:tcPr>
            <w:tcW w:w="754" w:type="pct"/>
            <w:vMerge w:val="restart"/>
            <w:tcBorders>
              <w:top w:val="nil"/>
              <w:left w:val="single" w:sz="4" w:space="0" w:color="auto"/>
              <w:bottom w:val="single" w:sz="4" w:space="0" w:color="000000"/>
              <w:right w:val="single" w:sz="4" w:space="0" w:color="auto"/>
            </w:tcBorders>
            <w:shd w:val="clear" w:color="000000" w:fill="FFFFFF"/>
            <w:vAlign w:val="center"/>
          </w:tcPr>
          <w:p>
            <w:pPr>
              <w:jc w:val="center"/>
              <w:rPr>
                <w:rFonts w:ascii="宋体" w:cs="宋体"/>
                <w:sz w:val="22"/>
              </w:rPr>
            </w:pPr>
            <w:r>
              <w:rPr>
                <w:rFonts w:hint="eastAsia"/>
                <w:sz w:val="22"/>
              </w:rPr>
              <w:t>执行率</w:t>
              <w:br/>
              <w:t>分值</w:t>
              <w:br/>
              <w:t>（</w:t>
            </w:r>
            <w:r>
              <w:rPr>
                <w:rFonts w:ascii="Times New Roman" w:cs="Times New Roman" w:hAnsi="Times New Roman"/>
                <w:sz w:val="22"/>
              </w:rPr>
              <w:t>10</w:t>
            </w:r>
            <w:r>
              <w:rPr>
                <w:rFonts w:hint="eastAsia"/>
                <w:sz w:val="22"/>
              </w:rPr>
              <w:t>）</w:t>
            </w: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233" w:type="pct"/>
            <w:gridSpan w:val="2"/>
            <w:tcBorders>
              <w:top w:val="single" w:sz="4" w:space="0" w:color="auto"/>
              <w:left w:val="nil"/>
              <w:bottom w:val="single" w:sz="4" w:space="0" w:color="auto"/>
              <w:right w:val="nil"/>
            </w:tcBorders>
            <w:shd w:val="clear" w:color="auto" w:fill="auto"/>
            <w:vAlign w:val="center"/>
          </w:tcPr>
          <w:p>
            <w:pPr>
              <w:jc w:val="center"/>
              <w:rPr>
                <w:rFonts w:ascii="宋体" w:cs="宋体"/>
                <w:sz w:val="22"/>
              </w:rPr>
            </w:pPr>
            <w:r>
              <w:rPr>
                <w:rFonts w:hint="eastAsia"/>
                <w:sz w:val="22"/>
              </w:rPr>
              <w:t xml:space="preserve">    其中：财政拨款</w:t>
            </w:r>
          </w:p>
        </w:tc>
        <w:tc>
          <w:tcPr>
            <w:tcW w:w="18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宋体" w:cs="宋体"/>
                <w:sz w:val="22"/>
              </w:rPr>
            </w:pPr>
            <w:r>
              <w:rPr>
                <w:rFonts w:hint="eastAsia"/>
                <w:sz w:val="22"/>
              </w:rPr>
              <w:t xml:space="preserve"> </w:t>
            </w:r>
            <w:r>
              <w:rPr>
                <w:rFonts w:ascii="Times New Roman" w:cs="Times New Roman" w:hAnsi="Times New Roman"/>
                <w:sz w:val="22"/>
              </w:rPr>
              <w:t>3.00</w:t>
            </w:r>
            <w:r>
              <w:rPr>
                <w:rFonts w:hint="eastAsia"/>
                <w:sz w:val="22"/>
              </w:rPr>
              <w:t xml:space="preserve"> </w:t>
            </w:r>
          </w:p>
        </w:tc>
        <w:tc>
          <w:tcPr>
            <w:tcW w:w="591"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233" w:type="pct"/>
            <w:gridSpan w:val="2"/>
            <w:tcBorders>
              <w:top w:val="single" w:sz="4" w:space="0" w:color="auto"/>
              <w:left w:val="nil"/>
              <w:bottom w:val="single" w:sz="4" w:space="0" w:color="auto"/>
              <w:right w:val="nil"/>
            </w:tcBorders>
            <w:shd w:val="clear" w:color="auto" w:fill="auto"/>
            <w:vAlign w:val="center"/>
          </w:tcPr>
          <w:p>
            <w:pPr>
              <w:jc w:val="center"/>
              <w:rPr>
                <w:rFonts w:ascii="宋体" w:cs="宋体"/>
                <w:sz w:val="22"/>
              </w:rPr>
            </w:pPr>
            <w:r>
              <w:rPr>
                <w:rFonts w:hint="eastAsia"/>
                <w:sz w:val="22"/>
              </w:rPr>
              <w:t xml:space="preserve">         上年结转</w:t>
            </w:r>
          </w:p>
        </w:tc>
        <w:tc>
          <w:tcPr>
            <w:tcW w:w="18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宋体" w:cs="宋体"/>
                <w:sz w:val="22"/>
              </w:rPr>
            </w:pPr>
            <w:r>
              <w:rPr>
                <w:rFonts w:hint="eastAsia"/>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233" w:type="pct"/>
            <w:gridSpan w:val="2"/>
            <w:tcBorders>
              <w:top w:val="single" w:sz="4" w:space="0" w:color="auto"/>
              <w:left w:val="nil"/>
              <w:bottom w:val="single" w:sz="4" w:space="0" w:color="auto"/>
              <w:right w:val="nil"/>
            </w:tcBorders>
            <w:shd w:val="clear" w:color="auto" w:fill="auto"/>
            <w:vAlign w:val="center"/>
          </w:tcPr>
          <w:p>
            <w:pPr>
              <w:jc w:val="center"/>
              <w:rPr>
                <w:rFonts w:ascii="宋体" w:cs="宋体"/>
                <w:sz w:val="22"/>
              </w:rPr>
            </w:pPr>
            <w:r>
              <w:rPr>
                <w:rFonts w:hint="eastAsia"/>
                <w:sz w:val="22"/>
              </w:rPr>
              <w:t xml:space="preserve">         其他资金</w:t>
            </w:r>
          </w:p>
        </w:tc>
        <w:tc>
          <w:tcPr>
            <w:tcW w:w="18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宋体" w:cs="宋体"/>
                <w:sz w:val="22"/>
              </w:rPr>
            </w:pPr>
            <w:r>
              <w:rPr>
                <w:rFonts w:hint="eastAsia"/>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1782"/>
        </w:trPr>
        <w:tc>
          <w:tcPr>
            <w:tcW w:w="474" w:type="pct"/>
            <w:tcBorders>
              <w:top w:val="nil"/>
              <w:left w:val="single" w:sz="4" w:space="0" w:color="auto"/>
              <w:bottom w:val="nil"/>
              <w:right w:val="single" w:sz="4" w:space="0" w:color="auto"/>
            </w:tcBorders>
            <w:shd w:val="clear" w:color="auto" w:fill="auto"/>
            <w:vAlign w:val="center"/>
          </w:tcPr>
          <w:p>
            <w:pPr>
              <w:jc w:val="center"/>
              <w:rPr>
                <w:rFonts w:ascii="宋体" w:cs="宋体"/>
                <w:sz w:val="22"/>
              </w:rPr>
            </w:pPr>
            <w:r>
              <w:rPr>
                <w:rFonts w:hint="eastAsia"/>
                <w:sz w:val="22"/>
              </w:rPr>
              <w:t>年度</w:t>
              <w:br/>
              <w:t>总体</w:t>
              <w:br/>
              <w:t>目标</w:t>
            </w:r>
          </w:p>
        </w:tc>
        <w:tc>
          <w:tcPr>
            <w:tcW w:w="4525" w:type="pct"/>
            <w:gridSpan w:val="6"/>
            <w:tcBorders>
              <w:top w:val="single" w:sz="4" w:space="0" w:color="auto"/>
              <w:left w:val="nil"/>
              <w:bottom w:val="single" w:sz="4" w:space="0" w:color="auto"/>
              <w:right w:val="single" w:sz="4" w:space="0" w:color="auto"/>
            </w:tcBorders>
            <w:shd w:val="clear" w:color="auto" w:fill="auto"/>
            <w:vAlign w:val="center"/>
          </w:tcPr>
          <w:p>
            <w:pPr>
              <w:rPr>
                <w:rFonts w:ascii="宋体" w:cs="宋体"/>
                <w:sz w:val="22"/>
              </w:rPr>
            </w:pPr>
            <w:r>
              <w:rPr>
                <w:rFonts w:ascii="宋体" w:cs="宋体"/>
                <w:sz w:val="22"/>
              </w:rPr>
              <w:t>1.开展口岸公共卫生安全风险监测评估，提高风险防控能力。</w:t>
            </w:r>
          </w:p>
          <w:p>
            <w:pPr>
              <w:rPr>
                <w:rFonts w:ascii="宋体" w:cs="宋体"/>
                <w:sz w:val="22"/>
              </w:rPr>
            </w:pPr>
            <w:r>
              <w:rPr>
                <w:rFonts w:ascii="宋体" w:cs="宋体"/>
                <w:sz w:val="22"/>
              </w:rPr>
              <w:t>2.开展口岸病媒生物监测，保障口岸公共卫生安全。</w:t>
            </w:r>
          </w:p>
        </w:tc>
      </w:tr>
      <w:tr>
        <w:trPr>
          <w:trHeight w:val="600"/>
        </w:trPr>
        <w:tc>
          <w:tcPr>
            <w:tcW w:w="47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jc w:val="center"/>
              <w:rPr>
                <w:rFonts w:ascii="宋体" w:cs="宋体"/>
                <w:sz w:val="22"/>
              </w:rPr>
            </w:pPr>
            <w:r>
              <w:rPr>
                <w:rFonts w:hint="eastAsia"/>
                <w:sz w:val="22"/>
              </w:rPr>
              <w:t>绩</w:t>
              <w:br/>
              <w:t>效</w:t>
              <w:br/>
              <w:t>指</w:t>
              <w:br/>
              <w:t>标</w:t>
            </w:r>
          </w:p>
        </w:tc>
        <w:tc>
          <w:tcPr>
            <w:tcW w:w="647" w:type="pct"/>
            <w:tcBorders>
              <w:top w:val="nil"/>
              <w:left w:val="nil"/>
              <w:bottom w:val="single" w:sz="4" w:space="0" w:color="auto"/>
              <w:right w:val="single" w:sz="4" w:space="0" w:color="auto"/>
            </w:tcBorders>
            <w:shd w:val="clear" w:color="auto" w:fill="auto"/>
            <w:noWrap/>
            <w:vAlign w:val="center"/>
          </w:tcPr>
          <w:p>
            <w:pPr>
              <w:jc w:val="center"/>
              <w:rPr>
                <w:rFonts w:ascii="宋体" w:cs="宋体"/>
                <w:sz w:val="22"/>
              </w:rPr>
            </w:pPr>
            <w:r>
              <w:rPr>
                <w:rFonts w:hint="eastAsia"/>
                <w:sz w:val="22"/>
              </w:rPr>
              <w:t>一级指标</w:t>
            </w:r>
          </w:p>
        </w:tc>
        <w:tc>
          <w:tcPr>
            <w:tcW w:w="878" w:type="pct"/>
            <w:tcBorders>
              <w:top w:val="nil"/>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二级指标</w:t>
            </w:r>
          </w:p>
        </w:tc>
        <w:tc>
          <w:tcPr>
            <w:tcW w:w="1623" w:type="pct"/>
            <w:gridSpan w:val="2"/>
            <w:tcBorders>
              <w:top w:val="single" w:sz="4" w:space="0" w:color="auto"/>
              <w:left w:val="nil"/>
              <w:bottom w:val="single" w:sz="4" w:space="0" w:color="auto"/>
              <w:right w:val="single" w:sz="4" w:space="0" w:color="000000"/>
            </w:tcBorders>
            <w:shd w:val="clear" w:color="auto" w:fill="auto"/>
            <w:vAlign w:val="center"/>
          </w:tcPr>
          <w:p>
            <w:pPr>
              <w:jc w:val="center"/>
              <w:rPr>
                <w:rFonts w:ascii="宋体" w:cs="宋体"/>
                <w:sz w:val="22"/>
              </w:rPr>
            </w:pPr>
            <w:r>
              <w:rPr>
                <w:rFonts w:hint="eastAsia"/>
                <w:sz w:val="22"/>
              </w:rPr>
              <w:t>三级指标</w:t>
            </w:r>
          </w:p>
        </w:tc>
        <w:tc>
          <w:tcPr>
            <w:tcW w:w="622" w:type="pct"/>
            <w:tcBorders>
              <w:top w:val="nil"/>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指标值</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分值（</w:t>
            </w:r>
            <w:r>
              <w:rPr>
                <w:rFonts w:ascii="Times New Roman" w:cs="Times New Roman" w:hAnsi="Times New Roman"/>
                <w:sz w:val="22"/>
              </w:rPr>
              <w:t>90</w:t>
            </w:r>
            <w:r>
              <w:rPr>
                <w:rFonts w:hint="eastAsia"/>
                <w:sz w:val="22"/>
              </w:rPr>
              <w:t>）</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647" w:type="pct"/>
            <w:vMerge w:val="restart"/>
            <w:tcBorders>
              <w:top w:val="nil"/>
              <w:left w:val="single" w:sz="4" w:space="0" w:color="auto"/>
              <w:bottom w:val="single" w:sz="4" w:space="0" w:color="auto"/>
              <w:right w:val="single" w:sz="4" w:space="0" w:color="auto"/>
            </w:tcBorders>
            <w:shd w:val="clear" w:color="auto" w:fill="auto"/>
            <w:vAlign w:val="center"/>
          </w:tcPr>
          <w:p>
            <w:pPr>
              <w:pStyle w:val="38"/>
              <w:jc w:val="center"/>
              <w:rPr>
                <w:rFonts w:ascii="宋体" w:cs="宋体"/>
                <w:sz w:val="22"/>
              </w:rPr>
            </w:pPr>
            <w:r>
              <w:rPr>
                <w:rFonts w:hint="eastAsia"/>
                <w:sz w:val="22"/>
              </w:rPr>
              <w:t>产出指标</w:t>
            </w:r>
          </w:p>
        </w:tc>
        <w:tc>
          <w:tcPr>
            <w:tcW w:w="878" w:type="pct"/>
            <w:vMerge w:val="restart"/>
            <w:tcBorders>
              <w:top w:val="nil"/>
              <w:left w:val="nil"/>
              <w:bottom w:val="single" w:sz="4" w:space="0" w:color="auto"/>
              <w:right w:val="single" w:sz="4" w:space="0" w:color="auto"/>
            </w:tcBorders>
            <w:shd w:val="clear" w:color="auto" w:fill="auto"/>
            <w:vAlign w:val="center"/>
          </w:tcPr>
          <w:p>
            <w:pPr>
              <w:pStyle w:val="41"/>
              <w:jc w:val="center"/>
              <w:rPr>
                <w:rFonts w:ascii="宋体" w:eastAsia="宋体" w:cs="宋体"/>
                <w:sz w:val="22"/>
              </w:rPr>
            </w:pPr>
            <w:r>
              <w:rPr>
                <w:rFonts w:ascii="宋体" w:eastAsia="宋体" w:cs="宋体"/>
                <w:sz w:val="22"/>
              </w:rPr>
              <w:t>数量指标</w:t>
            </w:r>
          </w:p>
        </w:tc>
        <w:tc>
          <w:tcPr>
            <w:tcW w:w="162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口岸病媒生物监测种类</w:t>
            </w:r>
          </w:p>
        </w:tc>
        <w:tc>
          <w:tcPr>
            <w:tcW w:w="622"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Times New Roman" w:hint="eastAsia"/>
                <w:sz w:val="22"/>
              </w:rPr>
            </w:pPr>
            <w:r>
              <w:rPr>
                <w:rFonts w:ascii="宋体" w:cs="Times New Roman" w:hint="eastAsia"/>
                <w:sz w:val="22"/>
              </w:rPr>
              <w:t>≥</w:t>
            </w:r>
            <w:r>
              <w:rPr>
                <w:rFonts w:ascii="Times New Roman" w:cs="Times New Roman" w:hAnsi="Times New Roman"/>
                <w:sz w:val="22"/>
              </w:rPr>
              <w:t>4</w:t>
            </w:r>
            <w:r>
              <w:rPr>
                <w:rFonts w:ascii="宋体" w:cs="Times New Roman" w:hint="eastAsia"/>
                <w:sz w:val="22"/>
              </w:rPr>
              <w:t>种</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Times New Roman" w:eastAsia="宋体" w:cs="Times New Roman" w:hAnsi="Times New Roman"/>
                <w:sz w:val="22"/>
              </w:rPr>
            </w:pPr>
            <w:r>
              <w:rPr>
                <w:rFonts w:ascii="Times New Roman" w:eastAsia="宋体" w:cs="Times New Roman" w:hAnsi="Times New Roman"/>
                <w:sz w:val="22"/>
              </w:rPr>
              <w:t>15</w:t>
            </w:r>
          </w:p>
        </w:tc>
      </w:tr>
      <w:tr>
        <w:trPr>
          <w:trHeight w:val="418"/>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162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风险评估次数</w:t>
            </w:r>
          </w:p>
        </w:tc>
        <w:tc>
          <w:tcPr>
            <w:tcW w:w="622"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Times New Roman" w:hint="eastAsia"/>
                <w:sz w:val="22"/>
              </w:rPr>
            </w:pPr>
            <w:r>
              <w:rPr>
                <w:rFonts w:ascii="宋体" w:cs="Times New Roman" w:hint="eastAsia"/>
                <w:sz w:val="22"/>
              </w:rPr>
              <w:t>≥</w:t>
            </w:r>
            <w:r>
              <w:rPr>
                <w:rFonts w:ascii="Times New Roman" w:cs="Times New Roman" w:hAnsi="Times New Roman"/>
                <w:sz w:val="22"/>
              </w:rPr>
              <w:t>1</w:t>
            </w:r>
            <w:r>
              <w:rPr>
                <w:rFonts w:ascii="宋体" w:cs="Times New Roman" w:hint="eastAsia"/>
                <w:sz w:val="22"/>
              </w:rPr>
              <w:t>次</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Times New Roman" w:eastAsia="宋体" w:cs="Times New Roman" w:hAnsi="Times New Roman"/>
                <w:sz w:val="22"/>
              </w:rPr>
            </w:pPr>
            <w:r>
              <w:rPr>
                <w:rFonts w:ascii="Times New Roman" w:eastAsia="宋体" w:cs="Times New Roman" w:hAnsi="Times New Roman"/>
                <w:sz w:val="22"/>
              </w:rPr>
              <w:t>10</w:t>
            </w:r>
          </w:p>
        </w:tc>
      </w:tr>
      <w:tr>
        <w:trPr>
          <w:trHeight w:val="418"/>
        </w:trPr>
        <w:tc>
          <w:tcPr>
            <w:tcW w:w="1110"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878" w:type="pct"/>
            <w:vMerge w:val="restart"/>
            <w:tcBorders>
              <w:top w:val="nil"/>
              <w:left w:val="nil"/>
              <w:bottom w:val="single" w:sz="4" w:space="0" w:color="auto"/>
              <w:right w:val="single" w:sz="4" w:space="0" w:color="auto"/>
            </w:tcBorders>
            <w:shd w:val="clear" w:color="auto" w:fill="auto"/>
            <w:vAlign w:val="center"/>
          </w:tcPr>
          <w:p>
            <w:pPr>
              <w:pStyle w:val="43"/>
              <w:jc w:val="center"/>
              <w:rPr>
                <w:rFonts w:ascii="宋体" w:eastAsia="宋体" w:cs="宋体"/>
                <w:sz w:val="22"/>
              </w:rPr>
            </w:pPr>
            <w:r>
              <w:rPr>
                <w:rFonts w:ascii="宋体" w:eastAsia="宋体" w:cs="宋体"/>
                <w:sz w:val="22"/>
              </w:rPr>
              <w:t>质量指标</w:t>
            </w:r>
          </w:p>
        </w:tc>
        <w:tc>
          <w:tcPr>
            <w:tcW w:w="162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病媒监测覆盖率</w:t>
            </w:r>
          </w:p>
        </w:tc>
        <w:tc>
          <w:tcPr>
            <w:tcW w:w="622"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Times New Roman" w:hint="eastAsia"/>
                <w:sz w:val="22"/>
              </w:rPr>
            </w:pPr>
            <w:r>
              <w:rPr>
                <w:rFonts w:ascii="宋体" w:cs="Times New Roman" w:hint="eastAsia"/>
                <w:sz w:val="22"/>
              </w:rPr>
              <w:t>≥</w:t>
            </w:r>
            <w:r>
              <w:rPr>
                <w:rFonts w:ascii="Times New Roman" w:cs="Times New Roman" w:hAnsi="Times New Roman"/>
                <w:sz w:val="22"/>
              </w:rPr>
              <w:t>90</w:t>
            </w:r>
            <w:r>
              <w:rPr>
                <w:rFonts w:ascii="宋体" w:cs="Times New Roman" w:hint="eastAsia"/>
                <w:sz w:val="22"/>
              </w:rPr>
              <w:t>%</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Times New Roman" w:eastAsia="宋体" w:cs="Times New Roman" w:hAnsi="Times New Roman"/>
                <w:sz w:val="22"/>
              </w:rPr>
            </w:pPr>
            <w:r>
              <w:rPr>
                <w:rFonts w:ascii="Times New Roman" w:eastAsia="宋体" w:cs="Times New Roman" w:hAnsi="Times New Roman"/>
                <w:sz w:val="22"/>
              </w:rPr>
              <w:t>15</w:t>
            </w:r>
          </w:p>
        </w:tc>
      </w:tr>
      <w:tr>
        <w:trPr>
          <w:trHeight w:val="613"/>
        </w:trPr>
        <w:tc>
          <w:tcPr>
            <w:tcW w:w="1110"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162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《全国口岸食品安全抽检计划》年度完成率</w:t>
            </w:r>
          </w:p>
        </w:tc>
        <w:tc>
          <w:tcPr>
            <w:tcW w:w="622"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Times New Roman" w:hint="eastAsia"/>
                <w:sz w:val="22"/>
              </w:rPr>
            </w:pPr>
            <w:r>
              <w:rPr>
                <w:rFonts w:ascii="宋体" w:cs="Times New Roman" w:hint="eastAsia"/>
                <w:sz w:val="22"/>
              </w:rPr>
              <w:t>≥</w:t>
            </w:r>
            <w:r>
              <w:rPr>
                <w:rFonts w:ascii="Times New Roman" w:cs="Times New Roman" w:hAnsi="Times New Roman"/>
                <w:sz w:val="22"/>
              </w:rPr>
              <w:t>95</w:t>
            </w:r>
            <w:r>
              <w:rPr>
                <w:rFonts w:ascii="宋体" w:cs="Times New Roman" w:hint="eastAsia"/>
                <w:sz w:val="22"/>
              </w:rPr>
              <w:t>%</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Times New Roman" w:eastAsia="宋体" w:cs="Times New Roman" w:hAnsi="Times New Roman"/>
                <w:sz w:val="22"/>
              </w:rPr>
            </w:pPr>
            <w:r>
              <w:rPr>
                <w:rFonts w:ascii="Times New Roman" w:eastAsia="宋体" w:cs="Times New Roman" w:hAnsi="Times New Roman"/>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647" w:type="pct"/>
            <w:tcBorders>
              <w:top w:val="nil"/>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效益指标</w:t>
            </w:r>
          </w:p>
        </w:tc>
        <w:tc>
          <w:tcPr>
            <w:tcW w:w="878" w:type="pct"/>
            <w:tcBorders>
              <w:top w:val="nil"/>
              <w:left w:val="nil"/>
              <w:bottom w:val="single" w:sz="4" w:space="0" w:color="auto"/>
              <w:right w:val="single" w:sz="4" w:space="0" w:color="auto"/>
            </w:tcBorders>
            <w:shd w:val="clear" w:color="auto" w:fill="auto"/>
            <w:vAlign w:val="center"/>
          </w:tcPr>
          <w:p>
            <w:pPr>
              <w:jc w:val="center"/>
              <w:rPr>
                <w:rFonts w:ascii="宋体" w:cs="宋体"/>
                <w:sz w:val="22"/>
              </w:rPr>
            </w:pPr>
            <w:r>
              <w:rPr>
                <w:rFonts w:hint="eastAsia"/>
                <w:sz w:val="22"/>
              </w:rPr>
              <w:t>社会效益指标</w:t>
            </w:r>
          </w:p>
        </w:tc>
        <w:tc>
          <w:tcPr>
            <w:tcW w:w="1623" w:type="pct"/>
            <w:gridSpan w:val="2"/>
            <w:tcBorders>
              <w:top w:val="single" w:sz="4" w:space="0" w:color="auto"/>
              <w:left w:val="nil"/>
              <w:bottom w:val="single" w:sz="4" w:space="0" w:color="auto"/>
              <w:right w:val="nil"/>
            </w:tcBorders>
            <w:shd w:val="clear" w:color="auto" w:fill="auto"/>
            <w:vAlign w:val="center"/>
          </w:tcPr>
          <w:p>
            <w:pPr>
              <w:rPr>
                <w:rFonts w:ascii="宋体" w:cs="宋体"/>
                <w:sz w:val="22"/>
              </w:rPr>
            </w:pPr>
            <w:r>
              <w:rPr>
                <w:rFonts w:ascii="宋体" w:eastAsia="宋体" w:cs="宋体"/>
                <w:sz w:val="22"/>
              </w:rPr>
              <w:t>口岸重大和特别重大突发公共卫生事件有效处置率</w:t>
            </w:r>
          </w:p>
        </w:tc>
        <w:tc>
          <w:tcPr>
            <w:tcW w:w="622"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cs="Times New Roman" w:hint="eastAsia"/>
                <w:sz w:val="22"/>
              </w:rPr>
            </w:pPr>
            <w:r>
              <w:rPr>
                <w:rFonts w:ascii="宋体" w:cs="Times New Roman" w:hint="eastAsia"/>
                <w:sz w:val="22"/>
              </w:rPr>
              <w:t>≥</w:t>
            </w:r>
            <w:r>
              <w:rPr>
                <w:rFonts w:ascii="Times New Roman" w:cs="Times New Roman" w:hAnsi="Times New Roman"/>
                <w:sz w:val="22"/>
              </w:rPr>
              <w:t>95</w:t>
            </w:r>
            <w:r>
              <w:rPr>
                <w:rFonts w:ascii="宋体" w:cs="Times New Roman" w:hint="eastAsia"/>
                <w:sz w:val="22"/>
              </w:rPr>
              <w:t>%</w:t>
            </w:r>
          </w:p>
        </w:tc>
        <w:tc>
          <w:tcPr>
            <w:tcW w:w="754" w:type="pct"/>
            <w:tcBorders>
              <w:top w:val="nil"/>
              <w:left w:val="nil"/>
              <w:bottom w:val="single" w:sz="4" w:space="0" w:color="auto"/>
              <w:right w:val="single" w:sz="4" w:space="0" w:color="auto"/>
            </w:tcBorders>
            <w:shd w:val="clear" w:color="auto" w:fill="auto"/>
            <w:vAlign w:val="center"/>
          </w:tcPr>
          <w:p>
            <w:pPr>
              <w:jc w:val="center"/>
              <w:rPr>
                <w:rFonts w:ascii="Times New Roman" w:eastAsia="宋体" w:cs="Times New Roman" w:hAnsi="Times New Roman"/>
                <w:sz w:val="22"/>
              </w:rPr>
            </w:pPr>
            <w:r>
              <w:rPr>
                <w:rFonts w:ascii="Times New Roman" w:eastAsia="宋体" w:cs="Times New Roman" w:hAnsi="Times New Roman"/>
                <w:sz w:val="22"/>
              </w:rPr>
              <w:t>40</w:t>
            </w:r>
          </w:p>
        </w:tc>
      </w:tr>
    </w:tbl>
    <w:p>
      <w:r>
        <w:br w:type="page"/>
      </w:r>
    </w:p>
    <w:tbl>
      <w:tblPr>
        <w:jc w:val="left"/>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6"/>
        <w:gridCol w:w="45"/>
        <w:gridCol w:w="825"/>
        <w:gridCol w:w="615"/>
        <w:gridCol w:w="644"/>
        <w:gridCol w:w="1006"/>
        <w:gridCol w:w="173"/>
        <w:gridCol w:w="1958"/>
        <w:gridCol w:w="238"/>
        <w:gridCol w:w="1300"/>
        <w:gridCol w:w="1012"/>
      </w:tblGrid>
      <w:tr>
        <w:trPr>
          <w:trHeight w:val="702"/>
        </w:trPr>
        <w:tc>
          <w:tcPr>
            <w:tcW w:w="5000" w:type="pct"/>
            <w:gridSpan w:val="11"/>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海关资产及专用设备运行维护费</w:t>
            </w:r>
          </w:p>
          <w:p>
            <w:pPr>
              <w:widowControl/>
              <w:jc w:val="center"/>
              <w:rPr>
                <w:rFonts w:ascii="黑体" w:eastAsia="黑体" w:cs="宋体"/>
                <w:kern w:val="0"/>
                <w:sz w:val="40"/>
                <w:szCs w:val="40"/>
              </w:rPr>
            </w:pPr>
            <w:r>
              <w:rPr>
                <w:rFonts w:ascii="黑体" w:eastAsia="黑体" w:cs="宋体" w:hint="eastAsia"/>
                <w:kern w:val="0"/>
                <w:sz w:val="40"/>
                <w:szCs w:val="40"/>
              </w:rPr>
              <w:t>项目绩效目标表</w:t>
            </w:r>
          </w:p>
        </w:tc>
      </w:tr>
      <w:tr>
        <w:trPr>
          <w:trHeight w:val="499"/>
        </w:trPr>
        <w:tc>
          <w:tcPr>
            <w:tcW w:w="5000" w:type="pct"/>
            <w:gridSpan w:val="11"/>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（2026年度）</w:t>
            </w:r>
          </w:p>
        </w:tc>
      </w:tr>
      <w:tr>
        <w:trPr>
          <w:trHeight w:val="439"/>
        </w:trPr>
        <w:tc>
          <w:tcPr>
            <w:tcW w:w="128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3714" w:type="pct"/>
            <w:gridSpan w:val="7"/>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海关资产及专用设备运行维护费</w:t>
            </w:r>
          </w:p>
        </w:tc>
      </w:tr>
      <w:tr>
        <w:trPr>
          <w:trHeight w:val="439"/>
        </w:trPr>
        <w:tc>
          <w:tcPr>
            <w:tcW w:w="128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069"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167</w:t>
            </w:r>
            <w:r>
              <w:rPr>
                <w:rFonts w:ascii="宋体" w:cs="宋体" w:hint="eastAsia"/>
                <w:kern w:val="0"/>
                <w:sz w:val="22"/>
              </w:rPr>
              <w:t>]海关总署</w:t>
            </w:r>
          </w:p>
        </w:tc>
        <w:tc>
          <w:tcPr>
            <w:tcW w:w="1148"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495" w:type="pct"/>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1285"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069"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8.55 </w:t>
            </w:r>
          </w:p>
        </w:tc>
        <w:tc>
          <w:tcPr>
            <w:tcW w:w="593"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4"/>
            <w:vMerge/>
            <w:tcBorders>
              <w:top w:val="single" w:sz="4" w:space="0" w:color="auto"/>
              <w:left w:val="single" w:sz="4" w:space="0" w:color="auto"/>
              <w:bottom w:val="single" w:sz="4" w:space="0" w:color="000000"/>
              <w:right w:val="single" w:sz="4" w:space="0" w:color="000000"/>
            </w:tcBorders>
            <w:vAlign w:val="center"/>
          </w:tcPr>
          <w:p/>
        </w:tc>
        <w:tc>
          <w:tcPr>
            <w:tcW w:w="1069"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8.55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4"/>
            <w:vMerge/>
            <w:tcBorders>
              <w:top w:val="single" w:sz="4" w:space="0" w:color="auto"/>
              <w:left w:val="single" w:sz="4" w:space="0" w:color="auto"/>
              <w:bottom w:val="single" w:sz="4" w:space="0" w:color="000000"/>
              <w:right w:val="single" w:sz="4" w:space="0" w:color="000000"/>
            </w:tcBorders>
            <w:vAlign w:val="center"/>
          </w:tcPr>
          <w:p/>
        </w:tc>
        <w:tc>
          <w:tcPr>
            <w:tcW w:w="1069"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4"/>
            <w:vMerge/>
            <w:tcBorders>
              <w:top w:val="single" w:sz="4" w:space="0" w:color="auto"/>
              <w:left w:val="single" w:sz="4" w:space="0" w:color="auto"/>
              <w:bottom w:val="single" w:sz="4" w:space="0" w:color="000000"/>
              <w:right w:val="single" w:sz="4" w:space="0" w:color="000000"/>
            </w:tcBorders>
            <w:vAlign w:val="center"/>
          </w:tcPr>
          <w:p/>
        </w:tc>
        <w:tc>
          <w:tcPr>
            <w:tcW w:w="1069"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414" w:type="pct"/>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年度</w:t>
              <w:br/>
              <w:t>总体</w:t>
              <w:br/>
              <w:t>目标</w:t>
            </w:r>
          </w:p>
        </w:tc>
        <w:tc>
          <w:tcPr>
            <w:tcW w:w="4585" w:type="pct"/>
            <w:gridSpan w:val="10"/>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通过各类装备、设备的运维，提高武夷山海关监管工作效率，缓解海关人力资源不足与日益增长的监管工作量之间的矛盾，提升海关监管科技含量，提升海关装备设备现代化、科技化水平，优化海关缉监管与服务。</w:t>
            </w:r>
          </w:p>
        </w:tc>
      </w:tr>
      <w:tr>
        <w:trPr>
          <w:trHeight w:val="600"/>
        </w:trPr>
        <w:tc>
          <w:tcPr>
            <w:tcW w:w="41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绩</w:t>
              <w:br/>
              <w:t>效</w:t>
              <w:br/>
              <w:t>指</w:t>
              <w:br/>
              <w:t>标</w:t>
            </w:r>
          </w:p>
        </w:tc>
        <w:tc>
          <w:tcPr>
            <w:tcW w:w="871" w:type="pct"/>
            <w:gridSpan w:val="3"/>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一级指标</w:t>
            </w:r>
          </w:p>
        </w:tc>
        <w:tc>
          <w:tcPr>
            <w:tcW w:w="96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1250"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902"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w:t>
            </w:r>
            <w:r>
              <w:rPr>
                <w:rFonts w:ascii="Times New Roman" w:cs="Times New Roman" w:hAnsi="Times New Roman"/>
                <w:kern w:val="0"/>
                <w:sz w:val="22"/>
              </w:rPr>
              <w:t>90</w:t>
            </w:r>
            <w:r>
              <w:rPr>
                <w:rFonts w:ascii="宋体" w:cs="宋体" w:hint="eastAsia"/>
                <w:kern w:val="0"/>
                <w:sz w:val="22"/>
              </w:rPr>
              <w:t>）</w:t>
            </w:r>
          </w:p>
        </w:tc>
      </w:tr>
      <w:tr>
        <w:trPr>
          <w:trHeight w:val="418"/>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871" w:type="pct"/>
            <w:gridSpan w:val="3"/>
            <w:vMerge w:val="restart"/>
            <w:tcBorders>
              <w:top w:val="nil"/>
              <w:left w:val="single" w:sz="4" w:space="0" w:color="auto"/>
              <w:bottom w:val="single" w:sz="4" w:space="0" w:color="auto"/>
              <w:right w:val="single" w:sz="4" w:space="0" w:color="auto"/>
            </w:tcBorders>
            <w:shd w:val="clear" w:color="auto" w:fill="auto"/>
            <w:vAlign w:val="center"/>
          </w:tcPr>
          <w:p>
            <w:pPr>
              <w:pStyle w:val="39"/>
              <w:widowControl/>
              <w:jc w:val="center"/>
              <w:rPr>
                <w:rFonts w:ascii="宋体" w:cs="宋体"/>
                <w:kern w:val="0"/>
                <w:sz w:val="22"/>
              </w:rPr>
            </w:pPr>
            <w:r>
              <w:rPr>
                <w:rFonts w:ascii="宋体" w:cs="宋体" w:hint="eastAsia"/>
                <w:kern w:val="0"/>
                <w:sz w:val="22"/>
              </w:rPr>
              <w:t>产出指标</w:t>
            </w:r>
          </w:p>
        </w:tc>
        <w:tc>
          <w:tcPr>
            <w:tcW w:w="968" w:type="pct"/>
            <w:gridSpan w:val="2"/>
            <w:vMerge w:val="restart"/>
            <w:tcBorders>
              <w:top w:val="nil"/>
              <w:left w:val="single" w:sz="4" w:space="0" w:color="auto"/>
              <w:bottom w:val="single" w:sz="4" w:space="0" w:color="auto"/>
              <w:right w:val="single" w:sz="4" w:space="0" w:color="auto"/>
            </w:tcBorders>
            <w:shd w:val="clear" w:color="auto" w:fill="auto"/>
            <w:vAlign w:val="center"/>
          </w:tcPr>
          <w:p>
            <w:pPr>
              <w:pStyle w:val="45"/>
              <w:jc w:val="center"/>
              <w:rPr>
                <w:sz w:val="22"/>
              </w:rPr>
            </w:pPr>
            <w:r>
              <w:rPr>
                <w:rFonts w:ascii="宋体" w:eastAsia="宋体" w:cs="宋体"/>
                <w:sz w:val="22"/>
              </w:rPr>
              <w:t>数量指标</w:t>
            </w:r>
          </w:p>
        </w:tc>
        <w:tc>
          <w:tcPr>
            <w:tcW w:w="1250"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cs="宋体" w:hint="eastAsia"/>
                <w:kern w:val="0"/>
                <w:sz w:val="22"/>
              </w:rPr>
              <w:t>运维监管场所个数</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2</w:t>
            </w:r>
            <w:r>
              <w:rPr>
                <w:rFonts w:ascii="宋体" w:cs="宋体" w:hint="eastAsia"/>
                <w:kern w:val="0"/>
                <w:sz w:val="22"/>
              </w:rPr>
              <w:t>个</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18"/>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gridSpan w:val="3"/>
            <w:vMerge/>
            <w:tcBorders>
              <w:top w:val="nil"/>
              <w:left w:val="single" w:sz="4" w:space="0" w:color="auto"/>
              <w:bottom w:val="single" w:sz="4" w:space="0" w:color="auto"/>
              <w:right w:val="single" w:sz="4" w:space="0" w:color="auto"/>
            </w:tcBorders>
            <w:vAlign w:val="center"/>
          </w:tcPr>
          <w:p/>
        </w:tc>
        <w:tc>
          <w:tcPr>
            <w:tcW w:w="1025" w:type="pct"/>
            <w:gridSpan w:val="2"/>
            <w:vMerge/>
            <w:tcBorders>
              <w:top w:val="nil"/>
              <w:left w:val="single" w:sz="4" w:space="0" w:color="auto"/>
              <w:bottom w:val="single" w:sz="4" w:space="0" w:color="auto"/>
              <w:right w:val="single" w:sz="4" w:space="0" w:color="auto"/>
            </w:tcBorders>
            <w:vAlign w:val="center"/>
          </w:tcPr>
          <w:p/>
        </w:tc>
        <w:tc>
          <w:tcPr>
            <w:tcW w:w="1250"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cs="宋体" w:hint="eastAsia"/>
                <w:kern w:val="0"/>
                <w:sz w:val="22"/>
              </w:rPr>
              <w:t>运维设备数量</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5</w:t>
            </w:r>
            <w:r>
              <w:rPr>
                <w:rFonts w:ascii="宋体" w:cs="宋体" w:hint="eastAsia"/>
                <w:kern w:val="0"/>
                <w:sz w:val="22"/>
              </w:rPr>
              <w:t>台/套</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18"/>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gridSpan w:val="3"/>
            <w:vMerge/>
            <w:tcBorders>
              <w:top w:val="nil"/>
              <w:left w:val="single" w:sz="4" w:space="0" w:color="auto"/>
              <w:bottom w:val="single" w:sz="4" w:space="0" w:color="auto"/>
              <w:right w:val="single" w:sz="4" w:space="0" w:color="auto"/>
            </w:tcBorders>
            <w:vAlign w:val="center"/>
          </w:tcPr>
          <w:p/>
        </w:tc>
        <w:tc>
          <w:tcPr>
            <w:tcW w:w="968" w:type="pct"/>
            <w:gridSpan w:val="2"/>
            <w:vMerge w:val="restart"/>
            <w:tcBorders>
              <w:top w:val="nil"/>
              <w:left w:val="nil"/>
              <w:bottom w:val="single" w:sz="4" w:space="0" w:color="auto"/>
              <w:right w:val="single" w:sz="4" w:space="0" w:color="auto"/>
            </w:tcBorders>
            <w:shd w:val="clear" w:color="auto" w:fill="auto"/>
            <w:vAlign w:val="center"/>
          </w:tcPr>
          <w:p>
            <w:pPr>
              <w:pStyle w:val="46"/>
              <w:jc w:val="center"/>
              <w:rPr>
                <w:rFonts w:ascii="宋体" w:eastAsia="宋体" w:cs="宋体"/>
                <w:sz w:val="22"/>
              </w:rPr>
            </w:pPr>
            <w:r>
              <w:rPr>
                <w:rFonts w:ascii="宋体" w:eastAsia="宋体" w:cs="宋体"/>
                <w:sz w:val="22"/>
              </w:rPr>
              <w:t>质量指标</w:t>
            </w:r>
          </w:p>
        </w:tc>
        <w:tc>
          <w:tcPr>
            <w:tcW w:w="125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设备正常使用率</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90</w:t>
            </w:r>
            <w:r>
              <w:rPr>
                <w:rFonts w:ascii="宋体" w:cs="宋体" w:hint="eastAsia"/>
                <w:kern w:val="0"/>
                <w:sz w:val="22"/>
              </w:rPr>
              <w:t>%</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418"/>
        </w:trPr>
        <w:tc>
          <w:tcPr>
            <w:tcW w:w="1493" w:type="pct"/>
            <w:vMerge/>
            <w:tcBorders>
              <w:top w:val="single" w:sz="4" w:space="0" w:color="auto"/>
              <w:left w:val="single" w:sz="4" w:space="0" w:color="auto"/>
              <w:bottom w:val="single" w:sz="4" w:space="0" w:color="000000"/>
              <w:right w:val="single" w:sz="4" w:space="0" w:color="auto"/>
            </w:tcBorders>
            <w:vAlign w:val="center"/>
          </w:tcPr>
          <w:p/>
        </w:tc>
        <w:tc>
          <w:tcPr>
            <w:tcW w:w="589" w:type="pct"/>
            <w:gridSpan w:val="3"/>
            <w:vMerge/>
            <w:tcBorders>
              <w:top w:val="nil"/>
              <w:left w:val="single" w:sz="4" w:space="0" w:color="auto"/>
              <w:bottom w:val="single" w:sz="4" w:space="0" w:color="auto"/>
              <w:right w:val="single" w:sz="4" w:space="0" w:color="auto"/>
            </w:tcBorders>
            <w:vAlign w:val="center"/>
          </w:tcPr>
          <w:p/>
        </w:tc>
        <w:tc>
          <w:tcPr>
            <w:tcW w:w="1025" w:type="pct"/>
            <w:gridSpan w:val="2"/>
            <w:vMerge/>
            <w:tcBorders>
              <w:top w:val="nil"/>
              <w:left w:val="nil"/>
              <w:bottom w:val="single" w:sz="4" w:space="0" w:color="auto"/>
              <w:right w:val="single" w:sz="4" w:space="0" w:color="auto"/>
            </w:tcBorders>
            <w:shd w:val="clear" w:color="auto" w:fill="auto"/>
            <w:vAlign w:val="center"/>
          </w:tcPr>
          <w:p/>
        </w:tc>
        <w:tc>
          <w:tcPr>
            <w:tcW w:w="125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运维场所可用率</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eastAsia="宋体" w:cs="宋体"/>
                <w:sz w:val="22"/>
              </w:rPr>
              <w:t>≥</w:t>
            </w:r>
            <w:r>
              <w:rPr>
                <w:rFonts w:ascii="Times New Roman" w:eastAsia="宋体" w:cs="Times New Roman" w:hAnsi="Times New Roman"/>
                <w:sz w:val="22"/>
              </w:rPr>
              <w:t>90</w:t>
            </w:r>
            <w:r>
              <w:rPr>
                <w:rFonts w:ascii="宋体" w:eastAsia="宋体" w:cs="宋体"/>
                <w:sz w:val="22"/>
              </w:rPr>
              <w:t>%</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438"/>
        </w:trPr>
        <w:tc>
          <w:tcPr>
            <w:tcW w:w="1493" w:type="pct"/>
            <w:vMerge/>
            <w:tcBorders>
              <w:top w:val="single" w:sz="4" w:space="0" w:color="auto"/>
              <w:left w:val="single" w:sz="4" w:space="0" w:color="auto"/>
              <w:bottom w:val="single" w:sz="4" w:space="0" w:color="000000"/>
              <w:right w:val="single" w:sz="4" w:space="0" w:color="auto"/>
            </w:tcBorders>
            <w:vAlign w:val="center"/>
          </w:tcPr>
          <w:p/>
        </w:tc>
        <w:tc>
          <w:tcPr>
            <w:tcW w:w="871" w:type="pct"/>
            <w:gridSpan w:val="3"/>
            <w:tcBorders>
              <w:top w:val="nil"/>
              <w:left w:val="single" w:sz="4" w:space="0" w:color="auto"/>
              <w:bottom w:val="single" w:sz="4" w:space="0" w:color="auto"/>
              <w:right w:val="single" w:sz="4" w:space="0" w:color="auto"/>
            </w:tcBorders>
            <w:vAlign w:val="center"/>
          </w:tcPr>
          <w:p>
            <w:pPr>
              <w:jc w:val="center"/>
              <w:rPr>
                <w:rFonts w:ascii="宋体" w:eastAsia="宋体" w:cs="宋体"/>
                <w:sz w:val="22"/>
              </w:rPr>
            </w:pPr>
            <w:r>
              <w:rPr>
                <w:rFonts w:ascii="宋体" w:eastAsia="宋体" w:cs="宋体"/>
                <w:sz w:val="22"/>
              </w:rPr>
              <w:t>效益指标</w:t>
            </w:r>
          </w:p>
        </w:tc>
        <w:tc>
          <w:tcPr>
            <w:tcW w:w="968" w:type="pct"/>
            <w:gridSpan w:val="2"/>
            <w:tcBorders>
              <w:top w:val="nil"/>
              <w:left w:val="nil"/>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社会效益指标</w:t>
            </w:r>
          </w:p>
        </w:tc>
        <w:tc>
          <w:tcPr>
            <w:tcW w:w="125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安全事故发生次数</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Times New Roman" w:eastAsia="宋体" w:cs="Times New Roman" w:hAnsi="Times New Roman"/>
                <w:sz w:val="22"/>
              </w:rPr>
              <w:t>0</w:t>
            </w:r>
            <w:r>
              <w:rPr>
                <w:rFonts w:ascii="宋体" w:eastAsia="宋体" w:cs="宋体"/>
                <w:sz w:val="22"/>
              </w:rPr>
              <w:t>次</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30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871" w:type="pct"/>
            <w:gridSpan w:val="3"/>
            <w:tcBorders>
              <w:top w:val="nil"/>
              <w:left w:val="nil"/>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满意度指标</w:t>
            </w:r>
          </w:p>
        </w:tc>
        <w:tc>
          <w:tcPr>
            <w:tcW w:w="968" w:type="pct"/>
            <w:gridSpan w:val="2"/>
            <w:tcBorders>
              <w:top w:val="nil"/>
              <w:left w:val="nil"/>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服务对象满意度指标</w:t>
            </w:r>
          </w:p>
        </w:tc>
        <w:tc>
          <w:tcPr>
            <w:tcW w:w="125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关警员满意度</w:t>
            </w:r>
          </w:p>
        </w:tc>
        <w:tc>
          <w:tcPr>
            <w:tcW w:w="902"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eastAsia="宋体" w:cs="宋体"/>
                <w:sz w:val="22"/>
              </w:rPr>
              <w:t>≥</w:t>
            </w:r>
            <w:r>
              <w:rPr>
                <w:rFonts w:ascii="Times New Roman" w:eastAsia="宋体" w:cs="Times New Roman" w:hAnsi="Times New Roman"/>
                <w:sz w:val="22"/>
              </w:rPr>
              <w:t>90</w:t>
            </w:r>
            <w:r>
              <w:rPr>
                <w:rFonts w:ascii="宋体" w:eastAsia="宋体" w:cs="宋体"/>
                <w:sz w:val="22"/>
              </w:rPr>
              <w:t>%</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702"/>
        </w:trPr>
        <w:tc>
          <w:tcPr>
            <w:tcW w:w="5000" w:type="pct"/>
            <w:gridSpan w:val="11"/>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进出口商品质量安全检验监管专项</w:t>
            </w:r>
          </w:p>
          <w:p>
            <w:pPr>
              <w:widowControl/>
              <w:jc w:val="center"/>
              <w:rPr>
                <w:rFonts w:ascii="黑体" w:eastAsia="黑体" w:cs="宋体"/>
                <w:kern w:val="0"/>
                <w:sz w:val="40"/>
                <w:szCs w:val="40"/>
              </w:rPr>
            </w:pPr>
            <w:r>
              <w:rPr>
                <w:rFonts w:ascii="黑体" w:eastAsia="黑体" w:cs="宋体" w:hint="eastAsia"/>
                <w:kern w:val="0"/>
                <w:sz w:val="40"/>
                <w:szCs w:val="40"/>
              </w:rPr>
              <w:t>项目绩效目标表</w:t>
            </w:r>
          </w:p>
        </w:tc>
      </w:tr>
      <w:tr>
        <w:trPr>
          <w:trHeight w:val="499"/>
        </w:trPr>
        <w:tc>
          <w:tcPr>
            <w:tcW w:w="5000" w:type="pct"/>
            <w:gridSpan w:val="11"/>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（2026年度）</w:t>
            </w:r>
          </w:p>
        </w:tc>
      </w:tr>
      <w:tr>
        <w:trPr>
          <w:trHeight w:val="439"/>
        </w:trPr>
        <w:tc>
          <w:tcPr>
            <w:tcW w:w="92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4074" w:type="pct"/>
            <w:gridSpan w:val="8"/>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进出口商品质量安全检验监管专项</w:t>
            </w:r>
          </w:p>
        </w:tc>
      </w:tr>
      <w:tr>
        <w:trPr>
          <w:trHeight w:val="439"/>
        </w:trPr>
        <w:tc>
          <w:tcPr>
            <w:tcW w:w="92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430" w:type="pct"/>
            <w:gridSpan w:val="4"/>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167</w:t>
            </w:r>
            <w:r>
              <w:rPr>
                <w:rFonts w:ascii="宋体" w:cs="宋体" w:hint="eastAsia"/>
                <w:kern w:val="0"/>
                <w:sz w:val="22"/>
              </w:rPr>
              <w:t>]海关总署</w:t>
            </w:r>
          </w:p>
        </w:tc>
        <w:tc>
          <w:tcPr>
            <w:tcW w:w="1288" w:type="pct"/>
            <w:gridSpan w:val="2"/>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356"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925"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430" w:type="pct"/>
            <w:gridSpan w:val="4"/>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1.00 </w:t>
            </w:r>
          </w:p>
        </w:tc>
        <w:tc>
          <w:tcPr>
            <w:tcW w:w="593"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3"/>
            <w:vMerge/>
            <w:tcBorders>
              <w:top w:val="single" w:sz="4" w:space="0" w:color="auto"/>
              <w:left w:val="single" w:sz="4" w:space="0" w:color="auto"/>
              <w:bottom w:val="single" w:sz="4" w:space="0" w:color="000000"/>
              <w:right w:val="single" w:sz="4" w:space="0" w:color="000000"/>
            </w:tcBorders>
            <w:vAlign w:val="center"/>
          </w:tcPr>
          <w:p/>
        </w:tc>
        <w:tc>
          <w:tcPr>
            <w:tcW w:w="1430" w:type="pct"/>
            <w:gridSpan w:val="4"/>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1.00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3"/>
            <w:vMerge/>
            <w:tcBorders>
              <w:top w:val="single" w:sz="4" w:space="0" w:color="auto"/>
              <w:left w:val="single" w:sz="4" w:space="0" w:color="auto"/>
              <w:bottom w:val="single" w:sz="4" w:space="0" w:color="000000"/>
              <w:right w:val="single" w:sz="4" w:space="0" w:color="000000"/>
            </w:tcBorders>
            <w:vAlign w:val="center"/>
          </w:tcPr>
          <w:p/>
        </w:tc>
        <w:tc>
          <w:tcPr>
            <w:tcW w:w="1430" w:type="pct"/>
            <w:gridSpan w:val="4"/>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3"/>
            <w:vMerge/>
            <w:tcBorders>
              <w:top w:val="single" w:sz="4" w:space="0" w:color="auto"/>
              <w:left w:val="single" w:sz="4" w:space="0" w:color="auto"/>
              <w:bottom w:val="single" w:sz="4" w:space="0" w:color="000000"/>
              <w:right w:val="single" w:sz="4" w:space="0" w:color="000000"/>
            </w:tcBorders>
            <w:vAlign w:val="center"/>
          </w:tcPr>
          <w:p/>
        </w:tc>
        <w:tc>
          <w:tcPr>
            <w:tcW w:w="1430" w:type="pct"/>
            <w:gridSpan w:val="4"/>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440" w:type="pct"/>
            <w:gridSpan w:val="2"/>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年度</w:t>
              <w:br/>
              <w:t>总体</w:t>
              <w:br/>
              <w:t>目标</w:t>
            </w:r>
          </w:p>
        </w:tc>
        <w:tc>
          <w:tcPr>
            <w:tcW w:w="4559" w:type="pct"/>
            <w:gridSpan w:val="9"/>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1.通过开展风险监测、风险评估，提高进出口商品质量安全风险防控能力。</w:t>
            </w:r>
          </w:p>
          <w:p>
            <w:pPr>
              <w:widowControl/>
              <w:rPr>
                <w:rFonts w:ascii="宋体" w:cs="宋体"/>
                <w:kern w:val="0"/>
                <w:sz w:val="22"/>
              </w:rPr>
            </w:pPr>
            <w:r>
              <w:rPr>
                <w:rFonts w:ascii="宋体" w:cs="宋体"/>
                <w:kern w:val="0"/>
                <w:sz w:val="22"/>
              </w:rPr>
              <w:t>2.通过开展进出口商品质量安全检验监管研究，提出优化检验监管的相关措施，为确保商品质量安全提供政策支撑。</w:t>
            </w:r>
          </w:p>
        </w:tc>
      </w:tr>
      <w:tr>
        <w:trPr>
          <w:trHeight w:val="600"/>
        </w:trPr>
        <w:tc>
          <w:tcPr>
            <w:tcW w:w="440" w:type="pct"/>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233"/>
              <w:widowControl/>
              <w:jc w:val="center"/>
              <w:rPr>
                <w:rFonts w:ascii="宋体" w:cs="宋体"/>
                <w:kern w:val="0"/>
                <w:sz w:val="22"/>
              </w:rPr>
            </w:pPr>
            <w:r>
              <w:rPr>
                <w:rFonts w:ascii="宋体" w:cs="宋体" w:hint="eastAsia"/>
                <w:kern w:val="0"/>
                <w:sz w:val="22"/>
              </w:rPr>
              <w:t>绩</w:t>
              <w:br/>
              <w:t>效</w:t>
              <w:br/>
              <w:t>指</w:t>
              <w:br/>
              <w:t>标</w:t>
            </w:r>
          </w:p>
        </w:tc>
        <w:tc>
          <w:tcPr>
            <w:tcW w:w="484"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一级指标</w:t>
            </w:r>
          </w:p>
        </w:tc>
        <w:tc>
          <w:tcPr>
            <w:tcW w:w="73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1979" w:type="pct"/>
            <w:gridSpan w:val="4"/>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76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（90）</w:t>
            </w:r>
          </w:p>
        </w:tc>
      </w:tr>
      <w:tr>
        <w:trPr>
          <w:trHeight w:val="439"/>
        </w:trPr>
        <w:tc>
          <w:tcPr>
            <w:tcW w:w="440" w:type="pct"/>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tc>
        <w:tc>
          <w:tcPr>
            <w:tcW w:w="484"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产出指标</w:t>
            </w:r>
          </w:p>
        </w:tc>
        <w:tc>
          <w:tcPr>
            <w:tcW w:w="73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数量指标</w:t>
            </w:r>
          </w:p>
        </w:tc>
        <w:tc>
          <w:tcPr>
            <w:tcW w:w="1979" w:type="pct"/>
            <w:gridSpan w:val="4"/>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风险监测获取有效信息数量</w:t>
            </w:r>
          </w:p>
        </w:tc>
        <w:tc>
          <w:tcPr>
            <w:tcW w:w="762"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12</w:t>
            </w:r>
            <w:r>
              <w:rPr>
                <w:rFonts w:ascii="宋体" w:cs="宋体"/>
                <w:kern w:val="0"/>
                <w:sz w:val="22"/>
              </w:rPr>
              <w:t>条</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25</w:t>
            </w:r>
          </w:p>
        </w:tc>
      </w:tr>
      <w:tr>
        <w:trPr>
          <w:trHeight w:val="439"/>
        </w:trPr>
        <w:tc>
          <w:tcPr>
            <w:tcW w:w="263" w:type="pct"/>
            <w:gridSpan w:val="2"/>
            <w:vMerge/>
            <w:tcBorders>
              <w:top w:val="single" w:sz="4" w:space="0" w:color="auto"/>
              <w:left w:val="single" w:sz="4" w:space="0" w:color="auto"/>
              <w:bottom w:val="single" w:sz="4" w:space="0" w:color="000000"/>
              <w:right w:val="single" w:sz="4" w:space="0" w:color="auto"/>
            </w:tcBorders>
            <w:vAlign w:val="center"/>
          </w:tcPr>
          <w:p/>
        </w:tc>
        <w:tc>
          <w:tcPr>
            <w:vMerge/>
            <w:tcBorders>
              <w:top w:val="nil"/>
              <w:left w:val="single" w:sz="4" w:space="0" w:color="auto"/>
              <w:bottom w:val="single" w:sz="4" w:space="0" w:color="auto"/>
              <w:right w:val="single" w:sz="4" w:space="0" w:color="auto"/>
            </w:tcBorders>
            <w:noWrap/>
          </w:tcPr>
          <w:p/>
        </w:tc>
        <w:tc>
          <w:tcPr>
            <w:tcW w:w="73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质量指标</w:t>
            </w:r>
          </w:p>
        </w:tc>
        <w:tc>
          <w:tcPr>
            <w:tcW w:w="1979" w:type="pct"/>
            <w:gridSpan w:val="4"/>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通过风险信息形成风险监测、风险评估报告数量</w:t>
            </w:r>
          </w:p>
        </w:tc>
        <w:tc>
          <w:tcPr>
            <w:tcW w:w="762"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2</w:t>
            </w:r>
            <w:r>
              <w:rPr>
                <w:rFonts w:ascii="宋体" w:cs="宋体" w:hint="eastAsia"/>
                <w:kern w:val="0"/>
                <w:sz w:val="22"/>
              </w:rPr>
              <w:t>份</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25</w:t>
            </w:r>
          </w:p>
        </w:tc>
      </w:tr>
      <w:tr>
        <w:trPr>
          <w:trHeight w:val="439"/>
        </w:trPr>
        <w:tc>
          <w:tcPr>
            <w:tcW w:w="440" w:type="pct"/>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tc>
        <w:tc>
          <w:tcPr>
            <w:tcW w:w="48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效益指标</w:t>
            </w:r>
          </w:p>
        </w:tc>
        <w:tc>
          <w:tcPr>
            <w:tcW w:w="73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社会效益指标</w:t>
            </w:r>
          </w:p>
        </w:tc>
        <w:tc>
          <w:tcPr>
            <w:tcW w:w="1979" w:type="pct"/>
            <w:gridSpan w:val="4"/>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因海关检验原因导致的进口消费类商品危害人民群众生命健康重大质量安全事故</w:t>
            </w:r>
          </w:p>
        </w:tc>
        <w:tc>
          <w:tcPr>
            <w:tcW w:w="762"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w:t>
            </w:r>
            <w:r>
              <w:rPr>
                <w:rFonts w:ascii="宋体" w:cs="宋体" w:hint="eastAsia"/>
                <w:kern w:val="0"/>
                <w:sz w:val="22"/>
              </w:rPr>
              <w:t>次</w:t>
            </w:r>
          </w:p>
        </w:tc>
        <w:tc>
          <w:tcPr>
            <w:tcW w:w="593"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40</w:t>
            </w:r>
          </w:p>
        </w:tc>
      </w:tr>
    </w:tbl>
    <w:p>
      <w:pPr>
        <w:widowControl/>
        <w:rPr>
          <w:rFonts w:ascii="黑体" w:eastAsia="黑体" w:cs="宋体"/>
          <w:kern w:val="0"/>
          <w:sz w:val="32"/>
          <w:szCs w:val="32"/>
        </w:rPr>
      </w:pPr>
    </w:p>
    <w:tbl>
      <w:tblPr>
        <w:jc w:val="left"/>
        <w:tblW w:w="4996"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81"/>
        <w:gridCol w:w="1260"/>
        <w:gridCol w:w="1725"/>
        <w:gridCol w:w="245"/>
        <w:gridCol w:w="2214"/>
        <w:gridCol w:w="1279"/>
        <w:gridCol w:w="1012"/>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进出口食品及化妆品安全专项项目绩效目标表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（2026年度）</w:t>
            </w:r>
          </w:p>
        </w:tc>
      </w:tr>
      <w:tr>
        <w:trPr>
          <w:trHeight w:val="439"/>
        </w:trPr>
        <w:tc>
          <w:tcPr>
            <w:tcW w:w="11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3801"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进出口食品及化妆品安全专项</w:t>
            </w:r>
          </w:p>
        </w:tc>
      </w:tr>
      <w:tr>
        <w:trPr>
          <w:trHeight w:val="439"/>
        </w:trPr>
        <w:tc>
          <w:tcPr>
            <w:tcW w:w="11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15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167</w:t>
            </w:r>
            <w:r>
              <w:rPr>
                <w:rFonts w:ascii="宋体" w:cs="宋体" w:hint="eastAsia"/>
                <w:kern w:val="0"/>
                <w:sz w:val="22"/>
              </w:rPr>
              <w:t>]海关总署</w:t>
            </w:r>
          </w:p>
        </w:tc>
        <w:tc>
          <w:tcPr>
            <w:tcW w:w="130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345"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119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156"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0.60 </w:t>
            </w:r>
          </w:p>
        </w:tc>
        <w:tc>
          <w:tcPr>
            <w:tcW w:w="594"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15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0.60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15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15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458" w:type="pct"/>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年度</w:t>
              <w:br/>
              <w:t>总体</w:t>
              <w:br/>
              <w:t>目标</w:t>
            </w:r>
          </w:p>
        </w:tc>
        <w:tc>
          <w:tcPr>
            <w:tcW w:w="4541"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 xml:space="preserve">1.落实输华肉类、进口植物源性食品、进口保健食品及加工食品中益生菌成分等监测评估计划，为年度监督抽检和风险监测计划的动态调整提供参考。                                                          </w:t>
            </w:r>
          </w:p>
          <w:p>
            <w:pPr>
              <w:widowControl/>
              <w:rPr>
                <w:rFonts w:ascii="宋体" w:cs="宋体"/>
                <w:kern w:val="0"/>
                <w:sz w:val="22"/>
              </w:rPr>
            </w:pPr>
            <w:r>
              <w:rPr>
                <w:rFonts w:ascii="宋体" w:cs="宋体"/>
                <w:kern w:val="0"/>
                <w:sz w:val="22"/>
              </w:rPr>
              <w:t xml:space="preserve">2.通过积极开展食品安全宣传周活动，彰显海关进出口食品安全监管效能，强化全民食品安全意识，构建社会共治格局。 </w:t>
            </w:r>
          </w:p>
        </w:tc>
      </w:tr>
      <w:tr>
        <w:trPr>
          <w:trHeight w:val="600"/>
        </w:trPr>
        <w:tc>
          <w:tcPr>
            <w:tcW w:w="458"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绩</w:t>
              <w:br/>
              <w:t>效</w:t>
              <w:br/>
              <w:t>指</w:t>
              <w:br/>
              <w:t>标</w:t>
            </w:r>
          </w:p>
        </w:tc>
        <w:tc>
          <w:tcPr>
            <w:tcW w:w="739"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一级指标</w:t>
            </w:r>
          </w:p>
        </w:tc>
        <w:tc>
          <w:tcPr>
            <w:tcW w:w="101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1444"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75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9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（90）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39" w:type="pct"/>
            <w:vMerge w:val="restart"/>
            <w:tcBorders>
              <w:top w:val="nil"/>
              <w:left w:val="single" w:sz="4" w:space="0" w:color="auto"/>
              <w:bottom w:val="single" w:sz="4" w:space="0" w:color="auto"/>
              <w:right w:val="single" w:sz="4" w:space="0" w:color="auto"/>
            </w:tcBorders>
            <w:shd w:val="clear" w:color="auto" w:fill="auto"/>
            <w:vAlign w:val="center"/>
          </w:tcPr>
          <w:p>
            <w:pPr>
              <w:pStyle w:val="48"/>
              <w:widowControl/>
              <w:jc w:val="center"/>
              <w:rPr>
                <w:rFonts w:ascii="宋体" w:cs="宋体"/>
                <w:kern w:val="0"/>
                <w:sz w:val="22"/>
              </w:rPr>
            </w:pPr>
            <w:r>
              <w:rPr>
                <w:rFonts w:ascii="宋体" w:cs="宋体" w:hint="eastAsia"/>
                <w:kern w:val="0"/>
                <w:sz w:val="22"/>
              </w:rPr>
              <w:t>产出指标</w:t>
            </w:r>
          </w:p>
        </w:tc>
        <w:tc>
          <w:tcPr>
            <w:tcW w:w="1012" w:type="pct"/>
            <w:vMerge w:val="restart"/>
            <w:tcBorders>
              <w:top w:val="nil"/>
              <w:left w:val="nil"/>
              <w:bottom w:val="single" w:sz="4" w:space="0" w:color="auto"/>
              <w:right w:val="single" w:sz="4" w:space="0" w:color="auto"/>
            </w:tcBorders>
            <w:shd w:val="clear" w:color="auto" w:fill="auto"/>
            <w:vAlign w:val="center"/>
          </w:tcPr>
          <w:p>
            <w:pPr>
              <w:pStyle w:val="50"/>
              <w:widowControl/>
              <w:jc w:val="center"/>
              <w:rPr>
                <w:rFonts w:ascii="宋体" w:cs="宋体"/>
                <w:kern w:val="0"/>
                <w:sz w:val="22"/>
              </w:rPr>
            </w:pPr>
            <w:r>
              <w:rPr>
                <w:rFonts w:ascii="宋体" w:cs="宋体" w:hint="eastAsia"/>
                <w:kern w:val="0"/>
                <w:sz w:val="22"/>
              </w:rPr>
              <w:t>数量指标</w:t>
            </w:r>
          </w:p>
        </w:tc>
        <w:tc>
          <w:tcPr>
            <w:tcW w:w="1444"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开展食品安全宣传周活动场次数</w:t>
            </w:r>
          </w:p>
        </w:tc>
        <w:tc>
          <w:tcPr>
            <w:tcW w:w="75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2</w:t>
            </w:r>
            <w:r>
              <w:rPr>
                <w:rFonts w:ascii="宋体" w:cs="宋体" w:hint="eastAsia"/>
                <w:kern w:val="0"/>
                <w:sz w:val="22"/>
              </w:rPr>
              <w:t>次</w:t>
            </w:r>
          </w:p>
        </w:tc>
        <w:tc>
          <w:tcPr>
            <w:tcW w:w="594"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418"/>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1444"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进出口食品化妆品风险监测完成率</w:t>
            </w:r>
          </w:p>
        </w:tc>
        <w:tc>
          <w:tcPr>
            <w:tcW w:w="75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95</w:t>
            </w:r>
            <w:r>
              <w:rPr>
                <w:rFonts w:ascii="宋体" w:cs="宋体" w:hint="eastAsia"/>
                <w:kern w:val="0"/>
                <w:sz w:val="22"/>
              </w:rPr>
              <w:t>%</w:t>
            </w:r>
          </w:p>
        </w:tc>
        <w:tc>
          <w:tcPr>
            <w:tcW w:w="594"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428"/>
        </w:trPr>
        <w:tc>
          <w:tcPr>
            <w:tcW w:w="1120" w:type="pct"/>
            <w:vMerge/>
            <w:tcBorders>
              <w:top w:val="single" w:sz="4" w:space="0" w:color="auto"/>
              <w:left w:val="single" w:sz="4" w:space="0" w:color="auto"/>
              <w:bottom w:val="single" w:sz="4" w:space="0" w:color="000000"/>
              <w:right w:val="single" w:sz="4" w:space="0" w:color="auto"/>
            </w:tcBorders>
            <w:vAlign w:val="center"/>
          </w:tcPr>
          <w:p/>
        </w:tc>
        <w:tc>
          <w:tcPr>
            <w:tcW w:w="589" w:type="pct"/>
            <w:vMerge/>
            <w:tcBorders>
              <w:top w:val="nil"/>
              <w:left w:val="single" w:sz="4" w:space="0" w:color="auto"/>
              <w:bottom w:val="single" w:sz="4" w:space="0" w:color="auto"/>
              <w:right w:val="single" w:sz="4" w:space="0" w:color="auto"/>
            </w:tcBorders>
            <w:vAlign w:val="center"/>
          </w:tcPr>
          <w:p/>
        </w:tc>
        <w:tc>
          <w:tcPr>
            <w:tcW w:w="101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质量指标</w:t>
            </w:r>
          </w:p>
        </w:tc>
        <w:tc>
          <w:tcPr>
            <w:tcW w:w="1444"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当年进境动植物源性食品检疫审批正确率</w:t>
            </w:r>
          </w:p>
        </w:tc>
        <w:tc>
          <w:tcPr>
            <w:tcW w:w="75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eastAsia="宋体" w:cs="宋体"/>
                <w:sz w:val="22"/>
              </w:rPr>
              <w:t>≥</w:t>
            </w:r>
            <w:r>
              <w:rPr>
                <w:rFonts w:ascii="Times New Roman" w:eastAsia="宋体" w:cs="Times New Roman" w:hAnsi="Times New Roman"/>
                <w:sz w:val="22"/>
              </w:rPr>
              <w:t>95</w:t>
            </w:r>
            <w:r>
              <w:rPr>
                <w:rFonts w:ascii="宋体" w:eastAsia="宋体" w:cs="宋体"/>
                <w:sz w:val="22"/>
              </w:rPr>
              <w:t>%</w:t>
            </w:r>
          </w:p>
        </w:tc>
        <w:tc>
          <w:tcPr>
            <w:tcW w:w="594"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20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3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效益指标</w:t>
            </w:r>
          </w:p>
        </w:tc>
        <w:tc>
          <w:tcPr>
            <w:tcW w:w="101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社会效益指标</w:t>
            </w:r>
          </w:p>
        </w:tc>
        <w:tc>
          <w:tcPr>
            <w:tcW w:w="1444"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eastAsia="宋体" w:cs="宋体"/>
                <w:sz w:val="22"/>
              </w:rPr>
              <w:t>宣传受众人次数</w:t>
            </w:r>
          </w:p>
        </w:tc>
        <w:tc>
          <w:tcPr>
            <w:tcW w:w="75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150</w:t>
            </w:r>
            <w:r>
              <w:rPr>
                <w:rFonts w:ascii="宋体" w:cs="宋体"/>
                <w:kern w:val="0"/>
                <w:sz w:val="22"/>
              </w:rPr>
              <w:t>人次</w:t>
            </w:r>
          </w:p>
        </w:tc>
        <w:tc>
          <w:tcPr>
            <w:tcW w:w="594"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40</w:t>
            </w:r>
          </w:p>
        </w:tc>
      </w:tr>
    </w:tbl>
    <w:p>
      <w:pPr>
        <w:widowControl/>
        <w:jc w:val="left"/>
        <w:rPr>
          <w:rFonts w:ascii="Times New Roman" w:eastAsia="方正仿宋_GBK" w:hAnsi="Times New Roman"/>
          <w:sz w:val="40"/>
          <w:szCs w:val="40"/>
        </w:rPr>
      </w:pPr>
    </w:p>
    <w:tbl>
      <w:tblPr>
        <w:jc w:val="left"/>
        <w:tblW w:w="4998"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5"/>
        <w:gridCol w:w="1343"/>
        <w:gridCol w:w="1574"/>
        <w:gridCol w:w="653"/>
        <w:gridCol w:w="2602"/>
        <w:gridCol w:w="946"/>
        <w:gridCol w:w="957"/>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国门生物安全专项项目绩效目标表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（2026年度）</w:t>
            </w:r>
          </w:p>
        </w:tc>
      </w:tr>
      <w:tr>
        <w:trPr>
          <w:trHeight w:val="439"/>
        </w:trPr>
        <w:tc>
          <w:tcPr>
            <w:tcW w:w="10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3950"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国门生物安全专项</w:t>
            </w:r>
          </w:p>
        </w:tc>
      </w:tr>
      <w:tr>
        <w:trPr>
          <w:trHeight w:val="439"/>
        </w:trPr>
        <w:tc>
          <w:tcPr>
            <w:tcW w:w="10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307"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w:t>
            </w:r>
            <w:r>
              <w:rPr>
                <w:rFonts w:ascii="宋体" w:cs="宋体" w:hint="eastAsia"/>
                <w:kern w:val="0"/>
                <w:sz w:val="22"/>
              </w:rPr>
              <w:t>7]海关总署</w:t>
            </w:r>
          </w:p>
        </w:tc>
        <w:tc>
          <w:tcPr>
            <w:tcW w:w="1527"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115"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104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307"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0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eastAsia="宋体" w:cs="Times New Roman" w:hAnsi="Times New Roman"/>
                <w:sz w:val="22"/>
              </w:rPr>
              <w:t>7.47</w:t>
            </w:r>
          </w:p>
        </w:tc>
        <w:tc>
          <w:tcPr>
            <w:tcW w:w="560"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07"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0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eastAsia="宋体" w:cs="Times New Roman" w:hAnsi="Times New Roman"/>
                <w:sz w:val="22"/>
              </w:rPr>
              <w:t>7.47</w:t>
            </w:r>
            <w:r>
              <w:rPr>
                <w:rFonts w:ascii="Times New Roman" w:cs="Times New Roman" w:hAnsi="Times New Roman"/>
                <w:kern w:val="0"/>
                <w:sz w:val="22"/>
              </w:rPr>
              <w:t xml:space="preserve">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07"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0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07"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0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261" w:type="pct"/>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w:t>
              <w:br/>
              <w:t>度</w:t>
              <w:br/>
              <w:t>总</w:t>
              <w:br/>
              <w:t>体</w:t>
              <w:br/>
              <w:t>目</w:t>
              <w:br/>
              <w:t>标</w:t>
            </w:r>
          </w:p>
        </w:tc>
        <w:tc>
          <w:tcPr>
            <w:tcW w:w="4738"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1.通过开展国门生物安全宣传活动，切实增强社会公众国门生物安全意识，促进社会公众生物安全防控知识和能力的提升，共同筑牢国门生物安全防线。</w:t>
            </w:r>
          </w:p>
          <w:p>
            <w:pPr>
              <w:widowControl/>
              <w:rPr>
                <w:rFonts w:ascii="宋体" w:cs="宋体"/>
                <w:kern w:val="0"/>
                <w:sz w:val="22"/>
              </w:rPr>
            </w:pPr>
            <w:r>
              <w:rPr>
                <w:rFonts w:ascii="宋体" w:cs="宋体"/>
                <w:kern w:val="0"/>
                <w:sz w:val="22"/>
              </w:rPr>
              <w:t>2.通过开展外来有害生物监测和进出境动植物检验检疫工作，有效控制重大动植物疫情疫病和有毒有害物质传入传出，保障农林牧渔业生产安全、人民群众生命健康安全和生态安全。</w:t>
            </w:r>
          </w:p>
        </w:tc>
      </w:tr>
      <w:tr>
        <w:trPr>
          <w:trHeight w:val="613"/>
        </w:trPr>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51"/>
              <w:widowControl/>
              <w:jc w:val="center"/>
              <w:rPr>
                <w:rFonts w:ascii="宋体" w:cs="宋体"/>
                <w:kern w:val="0"/>
                <w:sz w:val="22"/>
              </w:rPr>
            </w:pPr>
            <w:r>
              <w:rPr>
                <w:rFonts w:ascii="宋体" w:cs="宋体" w:hint="eastAsia"/>
                <w:kern w:val="0"/>
                <w:sz w:val="22"/>
              </w:rPr>
              <w:t>绩</w:t>
              <w:br/>
              <w:t>效</w:t>
              <w:br/>
              <w:t>指</w:t>
              <w:br/>
              <w:t>标</w:t>
            </w:r>
          </w:p>
        </w:tc>
        <w:tc>
          <w:tcPr>
            <w:tcW w:w="787"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w:t>
              <w:br/>
              <w:t>指标</w:t>
            </w:r>
          </w:p>
        </w:tc>
        <w:tc>
          <w:tcPr>
            <w:tcW w:w="92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1910"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55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w:t>
            </w:r>
            <w:r>
              <w:rPr>
                <w:rFonts w:ascii="Times New Roman" w:cs="Times New Roman" w:hAnsi="Times New Roman"/>
                <w:kern w:val="0"/>
                <w:sz w:val="22"/>
              </w:rPr>
              <w:t>90</w:t>
            </w:r>
            <w:r>
              <w:rPr>
                <w:rFonts w:ascii="宋体" w:cs="宋体" w:hint="eastAsia"/>
                <w:kern w:val="0"/>
                <w:sz w:val="22"/>
              </w:rPr>
              <w:t>）</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87"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产出指标</w:t>
            </w:r>
          </w:p>
        </w:tc>
        <w:tc>
          <w:tcPr>
            <w:tcW w:w="924"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数量指标</w:t>
            </w:r>
          </w:p>
        </w:tc>
        <w:tc>
          <w:tcPr>
            <w:tcW w:w="191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开展国门生物安全宣传次数</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3</w:t>
            </w:r>
            <w:r>
              <w:rPr>
                <w:rFonts w:ascii="宋体" w:eastAsia="宋体" w:cs="宋体"/>
                <w:sz w:val="22"/>
              </w:rPr>
              <w:t>次</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91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外来有害生物监测报告数量</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1</w:t>
            </w:r>
            <w:r>
              <w:rPr>
                <w:rFonts w:ascii="宋体" w:eastAsia="宋体" w:cs="宋体"/>
                <w:sz w:val="22"/>
              </w:rPr>
              <w:t>份</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91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国门生物安全监测计划完成率</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Times New Roman" w:eastAsia="宋体" w:cs="Times New Roman" w:hAnsi="Times New Roman"/>
                <w:sz w:val="22"/>
              </w:rPr>
              <w:t>100</w:t>
            </w:r>
            <w:r>
              <w:rPr>
                <w:rFonts w:ascii="宋体" w:eastAsia="宋体" w:cs="宋体"/>
                <w:sz w:val="22"/>
              </w:rPr>
              <w:t>%</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924"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质量指标</w:t>
            </w:r>
          </w:p>
        </w:tc>
        <w:tc>
          <w:tcPr>
            <w:tcW w:w="1910"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eastAsia="宋体" w:cs="宋体"/>
                <w:sz w:val="22"/>
              </w:rPr>
              <w:t>外来有害生物监测计划完成率</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95</w:t>
            </w:r>
            <w:r>
              <w:rPr>
                <w:rFonts w:ascii="宋体" w:eastAsia="宋体" w:cs="宋体"/>
                <w:sz w:val="22"/>
              </w:rPr>
              <w:t>%</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20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8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效益指标</w:t>
            </w:r>
          </w:p>
        </w:tc>
        <w:tc>
          <w:tcPr>
            <w:tcW w:w="92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社会效益指标</w:t>
            </w:r>
          </w:p>
        </w:tc>
        <w:tc>
          <w:tcPr>
            <w:tcW w:w="1910"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eastAsia="宋体" w:cs="宋体"/>
                <w:sz w:val="22"/>
              </w:rPr>
              <w:t>宣传活动受众人次数</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150</w:t>
            </w:r>
            <w:r>
              <w:rPr>
                <w:rFonts w:ascii="宋体" w:eastAsia="宋体" w:cs="宋体"/>
                <w:sz w:val="22"/>
              </w:rPr>
              <w:t>人次</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30</w:t>
            </w:r>
          </w:p>
        </w:tc>
      </w:tr>
      <w:tr>
        <w:trPr>
          <w:trHeight w:val="428"/>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87" w:type="pct"/>
            <w:tcBorders>
              <w:top w:val="nil"/>
              <w:left w:val="nil"/>
              <w:bottom w:val="single" w:sz="4" w:space="0" w:color="auto"/>
              <w:right w:val="single" w:sz="4" w:space="0" w:color="auto"/>
            </w:tcBorders>
            <w:shd w:val="clear" w:color="auto" w:fill="auto"/>
            <w:vAlign w:val="center"/>
          </w:tcPr>
          <w:p>
            <w:pPr>
              <w:rPr>
                <w:rFonts w:ascii="宋体" w:eastAsia="宋体" w:cs="宋体"/>
                <w:sz w:val="22"/>
              </w:rPr>
            </w:pPr>
            <w:r>
              <w:rPr>
                <w:rFonts w:ascii="宋体" w:eastAsia="宋体" w:cs="宋体"/>
                <w:sz w:val="22"/>
              </w:rPr>
              <w:t>满意度指标</w:t>
            </w:r>
          </w:p>
        </w:tc>
        <w:tc>
          <w:tcPr>
            <w:tcW w:w="924" w:type="pct"/>
            <w:tcBorders>
              <w:top w:val="nil"/>
              <w:left w:val="nil"/>
              <w:bottom w:val="single" w:sz="4" w:space="0" w:color="auto"/>
              <w:right w:val="single" w:sz="4" w:space="0" w:color="auto"/>
            </w:tcBorders>
            <w:shd w:val="clear" w:color="auto" w:fill="auto"/>
            <w:vAlign w:val="center"/>
          </w:tcPr>
          <w:p>
            <w:pPr>
              <w:rPr>
                <w:rFonts w:ascii="宋体" w:eastAsia="宋体" w:cs="宋体"/>
                <w:sz w:val="22"/>
              </w:rPr>
            </w:pPr>
            <w:r>
              <w:rPr>
                <w:rFonts w:ascii="宋体" w:eastAsia="宋体" w:cs="宋体"/>
                <w:sz w:val="22"/>
              </w:rPr>
              <w:t>服务对象满意度指标</w:t>
            </w:r>
          </w:p>
        </w:tc>
        <w:tc>
          <w:tcPr>
            <w:tcW w:w="1910"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宣传对象满意度</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95</w:t>
            </w:r>
            <w:r>
              <w:rPr>
                <w:rFonts w:ascii="宋体" w:eastAsia="宋体" w:cs="宋体"/>
                <w:sz w:val="22"/>
              </w:rPr>
              <w:t>%</w:t>
            </w:r>
          </w:p>
        </w:tc>
        <w:tc>
          <w:tcPr>
            <w:tcW w:w="56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bl>
    <w:p>
      <w:pPr>
        <w:jc w:val="left"/>
        <w:rPr>
          <w:rFonts w:ascii="Times New Roman" w:eastAsia="方正仿宋_GBK" w:hAnsi="Times New Roman"/>
          <w:sz w:val="32"/>
          <w:szCs w:val="32"/>
        </w:rPr>
      </w:pPr>
    </w:p>
    <w:p>
      <w:pPr>
        <w:widowControl/>
        <w:jc w:val="left"/>
        <w:rPr>
          <w:rFonts w:ascii="Times New Roman" w:eastAsia="方正仿宋_GBK" w:hAnsi="Times New Roman"/>
          <w:sz w:val="40"/>
          <w:szCs w:val="40"/>
        </w:rPr>
      </w:pPr>
      <w:r>
        <w:rPr>
          <w:rFonts w:ascii="Times New Roman" w:eastAsia="方正仿宋_GBK" w:hAnsi="Times New Roman"/>
          <w:sz w:val="40"/>
          <w:szCs w:val="40"/>
        </w:rPr>
        <w:br w:type="page"/>
      </w:r>
    </w:p>
    <w:tbl>
      <w:tblPr>
        <w:jc w:val="left"/>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5"/>
        <w:gridCol w:w="1131"/>
        <w:gridCol w:w="1621"/>
        <w:gridCol w:w="820"/>
        <w:gridCol w:w="1747"/>
        <w:gridCol w:w="1748"/>
        <w:gridCol w:w="1009"/>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海关业务保障及能力提升专项项目绩效目标表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w:t>
            </w:r>
            <w:r>
              <w:rPr>
                <w:rFonts w:ascii="Times New Roman" w:cs="Times New Roman" w:hAnsi="Times New Roman"/>
                <w:kern w:val="0"/>
                <w:sz w:val="24"/>
                <w:szCs w:val="24"/>
              </w:rPr>
              <w:t>2026</w:t>
            </w:r>
            <w:r>
              <w:rPr>
                <w:rFonts w:ascii="宋体" w:cs="宋体" w:hint="eastAsia"/>
                <w:kern w:val="0"/>
                <w:sz w:val="24"/>
                <w:szCs w:val="24"/>
              </w:rPr>
              <w:t>年度）</w:t>
            </w:r>
          </w:p>
        </w:tc>
      </w:tr>
      <w:tr>
        <w:trPr>
          <w:trHeight w:val="439"/>
        </w:trPr>
        <w:tc>
          <w:tcPr>
            <w:tcW w:w="9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4074"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海关业务保障及能力提升专项</w:t>
            </w:r>
          </w:p>
        </w:tc>
      </w:tr>
      <w:tr>
        <w:trPr>
          <w:trHeight w:val="439"/>
        </w:trPr>
        <w:tc>
          <w:tcPr>
            <w:tcW w:w="9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432"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167</w:t>
            </w:r>
            <w:r>
              <w:rPr>
                <w:rFonts w:ascii="宋体" w:cs="宋体" w:hint="eastAsia"/>
                <w:kern w:val="0"/>
                <w:sz w:val="22"/>
              </w:rPr>
              <w:t>]海关总署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617"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92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432"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Times New Roman" w:cs="Times New Roman" w:hAnsi="Times New Roman"/>
                <w:sz w:val="22"/>
              </w:rPr>
            </w:pPr>
            <w:r>
              <w:rPr>
                <w:rFonts w:ascii="Times New Roman" w:eastAsia="宋体" w:cs="Times New Roman" w:hAnsi="Times New Roman"/>
                <w:sz w:val="22"/>
              </w:rPr>
              <w:t>54.85</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432"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right"/>
              <w:rPr>
                <w:rFonts w:ascii="Times New Roman" w:cs="Times New Roman" w:hAnsi="Times New Roman"/>
                <w:sz w:val="22"/>
              </w:rPr>
            </w:pPr>
            <w:r>
              <w:rPr>
                <w:rFonts w:ascii="Times New Roman" w:eastAsia="宋体" w:cs="Times New Roman" w:hAnsi="Times New Roman"/>
                <w:sz w:val="22"/>
              </w:rPr>
              <w:t>54.85</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432"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432"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261" w:type="pct"/>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w:t>
              <w:br/>
              <w:t>度</w:t>
              <w:br/>
              <w:t>总</w:t>
              <w:br/>
              <w:t>体</w:t>
              <w:br/>
              <w:t>目</w:t>
              <w:br/>
              <w:t>标</w:t>
            </w:r>
          </w:p>
        </w:tc>
        <w:tc>
          <w:tcPr>
            <w:tcW w:w="4738"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1.通过对公车运维，保障海关业务现场聘用人员的相关支出等工作，确保海关业务工作正常有序开展。</w:t>
            </w:r>
          </w:p>
          <w:p>
            <w:pPr>
              <w:widowControl/>
              <w:rPr>
                <w:rFonts w:ascii="宋体" w:cs="宋体"/>
                <w:kern w:val="0"/>
                <w:sz w:val="22"/>
              </w:rPr>
            </w:pPr>
            <w:r>
              <w:rPr>
                <w:rFonts w:ascii="宋体" w:cs="宋体"/>
                <w:kern w:val="0"/>
                <w:sz w:val="22"/>
              </w:rPr>
              <w:t>2.保障武夷山海关关区行政执法、风险管理等各项业务日常经费需求，保障海关行政执法能力和执法水平。</w:t>
            </w:r>
          </w:p>
        </w:tc>
      </w:tr>
      <w:tr>
        <w:trPr>
          <w:trHeight w:val="600"/>
        </w:trPr>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绩</w:t>
              <w:br/>
              <w:t>效</w:t>
              <w:br/>
              <w:t>指</w:t>
              <w:br/>
              <w:t>标</w:t>
            </w:r>
          </w:p>
        </w:tc>
        <w:tc>
          <w:tcPr>
            <w:tcW w:w="663"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w:t>
              <w:br/>
              <w:t>指标</w:t>
            </w:r>
          </w:p>
        </w:tc>
        <w:tc>
          <w:tcPr>
            <w:tcW w:w="95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102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（90）</w:t>
            </w:r>
          </w:p>
        </w:tc>
      </w:tr>
      <w:tr>
        <w:trPr>
          <w:trHeight w:val="603"/>
        </w:trPr>
        <w:tc>
          <w:tcPr>
            <w:tcW w:w="1120" w:type="pct"/>
            <w:vMerge/>
            <w:tcBorders>
              <w:top w:val="single" w:sz="4" w:space="0" w:color="auto"/>
              <w:left w:val="single" w:sz="4" w:space="0" w:color="auto"/>
              <w:bottom w:val="single" w:sz="4" w:space="0" w:color="000000"/>
              <w:right w:val="single" w:sz="4" w:space="0" w:color="auto"/>
            </w:tcBorders>
            <w:shd w:val="clear" w:color="auto" w:fill="auto"/>
            <w:vAlign w:val="center"/>
          </w:tcPr>
          <w:p/>
        </w:tc>
        <w:tc>
          <w:tcPr>
            <w:tcW w:w="663" w:type="pct"/>
            <w:vMerge w:val="restart"/>
            <w:tcBorders>
              <w:top w:val="nil"/>
              <w:left w:val="nil"/>
              <w:bottom w:val="single" w:sz="4" w:space="0" w:color="auto"/>
              <w:right w:val="single" w:sz="4" w:space="0" w:color="auto"/>
            </w:tcBorders>
            <w:shd w:val="clear" w:color="auto" w:fill="auto"/>
            <w:noWrap/>
            <w:vAlign w:val="center"/>
          </w:tcPr>
          <w:p>
            <w:pPr>
              <w:pStyle w:val="52"/>
              <w:widowControl/>
              <w:jc w:val="center"/>
              <w:rPr>
                <w:rFonts w:ascii="宋体" w:cs="宋体"/>
                <w:kern w:val="0"/>
                <w:sz w:val="22"/>
              </w:rPr>
            </w:pPr>
            <w:r>
              <w:rPr>
                <w:rFonts w:ascii="宋体" w:eastAsia="宋体" w:cs="宋体"/>
                <w:sz w:val="22"/>
              </w:rPr>
              <w:t>成本指标</w:t>
            </w:r>
          </w:p>
        </w:tc>
        <w:tc>
          <w:tcPr>
            <w:tcW w:w="951" w:type="pct"/>
            <w:vMerge w:val="restart"/>
            <w:tcBorders>
              <w:top w:val="nil"/>
              <w:left w:val="nil"/>
              <w:bottom w:val="single" w:sz="4" w:space="0" w:color="auto"/>
              <w:right w:val="single" w:sz="4" w:space="0" w:color="auto"/>
            </w:tcBorders>
            <w:shd w:val="clear" w:color="auto" w:fill="auto"/>
            <w:vAlign w:val="center"/>
          </w:tcPr>
          <w:p>
            <w:pPr>
              <w:pStyle w:val="53"/>
              <w:rPr>
                <w:rFonts w:ascii="宋体" w:eastAsia="宋体" w:cs="宋体"/>
                <w:sz w:val="22"/>
              </w:rPr>
            </w:pPr>
            <w:r>
              <w:rPr>
                <w:rFonts w:ascii="宋体" w:eastAsia="宋体" w:cs="宋体"/>
                <w:sz w:val="22"/>
              </w:rPr>
              <w:t>经济成本指标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tcPr>
          <w:p>
            <w:pPr>
              <w:rPr>
                <w:rFonts w:ascii="宋体" w:eastAsia="宋体" w:cs="宋体"/>
                <w:sz w:val="22"/>
              </w:rPr>
            </w:pPr>
            <w:r>
              <w:rPr>
                <w:rFonts w:ascii="宋体" w:eastAsia="宋体" w:cs="宋体"/>
                <w:sz w:val="22"/>
              </w:rPr>
              <w:t>公车运维成本</w:t>
            </w:r>
          </w:p>
        </w:tc>
        <w:tc>
          <w:tcPr>
            <w:tcW w:w="1026" w:type="pct"/>
            <w:tcBorders>
              <w:top w:val="nil"/>
              <w:left w:val="nil"/>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15.1</w:t>
            </w:r>
            <w:r>
              <w:rPr>
                <w:rFonts w:ascii="宋体" w:eastAsia="宋体" w:cs="宋体"/>
                <w:sz w:val="22"/>
              </w:rPr>
              <w:t>万元</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579"/>
        </w:trPr>
        <w:tc>
          <w:tcPr>
            <w:tcW w:w="1120" w:type="pct"/>
            <w:vMerge/>
            <w:tcBorders>
              <w:top w:val="single" w:sz="4" w:space="0" w:color="auto"/>
              <w:left w:val="single" w:sz="4" w:space="0" w:color="auto"/>
              <w:bottom w:val="single" w:sz="4" w:space="0" w:color="000000"/>
              <w:right w:val="single" w:sz="4" w:space="0" w:color="auto"/>
            </w:tcBorders>
            <w:shd w:val="clear" w:color="auto" w:fill="auto"/>
            <w:vAlign w:val="center"/>
          </w:tcPr>
          <w:p/>
        </w:tc>
        <w:tc>
          <w:tcPr>
            <w:tcW w:w="590" w:type="pct"/>
            <w:vMerge/>
            <w:tcBorders>
              <w:top w:val="nil"/>
              <w:left w:val="nil"/>
              <w:bottom w:val="single" w:sz="4" w:space="0" w:color="auto"/>
              <w:right w:val="single" w:sz="4" w:space="0" w:color="auto"/>
            </w:tcBorders>
            <w:shd w:val="clear" w:color="auto" w:fill="auto"/>
            <w:noWrap/>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1506" w:type="pct"/>
            <w:gridSpan w:val="2"/>
            <w:tcBorders>
              <w:top w:val="single" w:sz="4" w:space="0" w:color="auto"/>
              <w:left w:val="nil"/>
              <w:bottom w:val="single" w:sz="4" w:space="0" w:color="auto"/>
              <w:right w:val="single" w:sz="4" w:space="0" w:color="000000"/>
            </w:tcBorders>
            <w:shd w:val="clear" w:color="auto" w:fill="auto"/>
            <w:vAlign w:val="center"/>
          </w:tcPr>
          <w:p>
            <w:pPr>
              <w:rPr>
                <w:rFonts w:ascii="宋体" w:eastAsia="宋体" w:cs="宋体"/>
                <w:sz w:val="22"/>
              </w:rPr>
            </w:pPr>
            <w:r>
              <w:rPr>
                <w:rFonts w:ascii="宋体" w:eastAsia="宋体" w:cs="宋体"/>
                <w:sz w:val="22"/>
              </w:rPr>
              <w:t>公务用车购置成本</w:t>
            </w:r>
          </w:p>
        </w:tc>
        <w:tc>
          <w:tcPr>
            <w:tcW w:w="1026" w:type="pct"/>
            <w:tcBorders>
              <w:top w:val="nil"/>
              <w:left w:val="nil"/>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18.9</w:t>
            </w:r>
            <w:r>
              <w:rPr>
                <w:rFonts w:ascii="宋体" w:eastAsia="宋体" w:cs="宋体"/>
                <w:sz w:val="22"/>
              </w:rPr>
              <w:t>万元</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663"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产出指标</w:t>
            </w:r>
          </w:p>
        </w:tc>
        <w:tc>
          <w:tcPr>
            <w:tcW w:w="951"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保障业务现场数量</w:t>
            </w:r>
          </w:p>
        </w:tc>
        <w:tc>
          <w:tcPr>
            <w:tcW w:w="1026"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2</w:t>
            </w:r>
            <w:r>
              <w:rPr>
                <w:rFonts w:ascii="宋体" w:eastAsia="宋体" w:cs="宋体"/>
                <w:sz w:val="22"/>
              </w:rPr>
              <w:t>个</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保障执法执勤用车数量</w:t>
            </w:r>
          </w:p>
        </w:tc>
        <w:tc>
          <w:tcPr>
            <w:tcW w:w="1026"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4</w:t>
            </w:r>
            <w:r>
              <w:rPr>
                <w:rFonts w:ascii="宋体" w:eastAsia="宋体" w:cs="宋体"/>
                <w:sz w:val="22"/>
              </w:rPr>
              <w:t>辆</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951"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因保障能力造成的执法差错率</w:t>
            </w:r>
          </w:p>
        </w:tc>
        <w:tc>
          <w:tcPr>
            <w:tcW w:w="1026"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5</w:t>
            </w:r>
            <w:r>
              <w:rPr>
                <w:rFonts w:ascii="宋体" w:eastAsia="宋体" w:cs="宋体"/>
                <w:sz w:val="22"/>
              </w:rPr>
              <w:t>%</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公车可用率</w:t>
            </w:r>
          </w:p>
        </w:tc>
        <w:tc>
          <w:tcPr>
            <w:tcW w:w="1026"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90</w:t>
            </w:r>
            <w:r>
              <w:rPr>
                <w:rFonts w:ascii="宋体" w:eastAsia="宋体" w:cs="宋体"/>
                <w:sz w:val="22"/>
              </w:rPr>
              <w:t>%</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663"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效益指标</w:t>
            </w:r>
          </w:p>
        </w:tc>
        <w:tc>
          <w:tcPr>
            <w:tcW w:w="95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eastAsia="宋体" w:cs="宋体"/>
                <w:sz w:val="22"/>
              </w:rPr>
              <w:t>海关业务工作保障率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95</w:t>
            </w:r>
            <w:r>
              <w:rPr>
                <w:rFonts w:ascii="宋体" w:cs="宋体" w:hint="eastAsia"/>
                <w:kern w:val="0"/>
                <w:sz w:val="22"/>
              </w:rPr>
              <w:t>%</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30</w:t>
            </w:r>
          </w:p>
        </w:tc>
      </w:tr>
    </w:tbl>
    <w:p>
      <w:pPr>
        <w:jc w:val="left"/>
        <w:rPr>
          <w:rFonts w:ascii="Times New Roman" w:eastAsia="方正仿宋_GBK" w:hAnsi="Times New Roman"/>
          <w:sz w:val="32"/>
          <w:szCs w:val="32"/>
        </w:rPr>
      </w:pPr>
    </w:p>
    <w:p>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jc w:val="left"/>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5"/>
        <w:gridCol w:w="1237"/>
        <w:gridCol w:w="1575"/>
        <w:gridCol w:w="760"/>
        <w:gridCol w:w="2704"/>
        <w:gridCol w:w="944"/>
        <w:gridCol w:w="855"/>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kern w:val="0"/>
                <w:sz w:val="40"/>
                <w:szCs w:val="40"/>
              </w:rPr>
            </w:pPr>
            <w:r>
              <w:rPr>
                <w:rFonts w:ascii="黑体" w:eastAsia="黑体" w:cs="宋体" w:hint="eastAsia"/>
                <w:kern w:val="0"/>
                <w:sz w:val="40"/>
                <w:szCs w:val="40"/>
              </w:rPr>
              <w:t>监管查验技术装备设备购建及能力保障专项</w:t>
            </w:r>
          </w:p>
          <w:p>
            <w:pPr>
              <w:widowControl/>
              <w:jc w:val="center"/>
              <w:rPr>
                <w:rFonts w:ascii="黑体" w:eastAsia="黑体" w:cs="宋体"/>
                <w:kern w:val="0"/>
                <w:sz w:val="40"/>
                <w:szCs w:val="40"/>
              </w:rPr>
            </w:pPr>
            <w:r>
              <w:rPr>
                <w:rFonts w:ascii="黑体" w:eastAsia="黑体" w:cs="宋体" w:hint="eastAsia"/>
                <w:kern w:val="0"/>
                <w:sz w:val="40"/>
                <w:szCs w:val="40"/>
              </w:rPr>
              <w:t>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kern w:val="0"/>
                <w:sz w:val="24"/>
                <w:szCs w:val="24"/>
              </w:rPr>
            </w:pPr>
            <w:r>
              <w:rPr>
                <w:rFonts w:ascii="宋体" w:cs="宋体" w:hint="eastAsia"/>
                <w:kern w:val="0"/>
                <w:sz w:val="24"/>
                <w:szCs w:val="24"/>
              </w:rPr>
              <w:t>（</w:t>
            </w:r>
            <w:r>
              <w:rPr>
                <w:rFonts w:ascii="Times New Roman" w:cs="Times New Roman" w:hAnsi="Times New Roman"/>
                <w:kern w:val="0"/>
                <w:sz w:val="24"/>
                <w:szCs w:val="24"/>
              </w:rPr>
              <w:t>2026</w:t>
            </w:r>
            <w:r>
              <w:rPr>
                <w:rFonts w:ascii="宋体" w:cs="宋体" w:hint="eastAsia"/>
                <w:kern w:val="0"/>
                <w:sz w:val="24"/>
                <w:szCs w:val="24"/>
              </w:rPr>
              <w:t>年度）</w:t>
            </w:r>
          </w:p>
        </w:tc>
      </w:tr>
      <w:tr>
        <w:trPr>
          <w:trHeight w:val="439"/>
        </w:trPr>
        <w:tc>
          <w:tcPr>
            <w:tcW w:w="9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项目名称</w:t>
            </w:r>
          </w:p>
        </w:tc>
        <w:tc>
          <w:tcPr>
            <w:tcW w:w="4012"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监管查验技术装备设备购建及能力保障专项</w:t>
            </w:r>
          </w:p>
        </w:tc>
      </w:tr>
      <w:tr>
        <w:trPr>
          <w:trHeight w:val="439"/>
        </w:trPr>
        <w:tc>
          <w:tcPr>
            <w:tcW w:w="9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主管部门及代码</w:t>
            </w:r>
          </w:p>
        </w:tc>
        <w:tc>
          <w:tcPr>
            <w:tcW w:w="1370"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w:t>
            </w:r>
            <w:r>
              <w:rPr>
                <w:rFonts w:ascii="Times New Roman" w:cs="Times New Roman" w:hAnsi="Times New Roman"/>
                <w:kern w:val="0"/>
                <w:sz w:val="22"/>
              </w:rPr>
              <w:t>167</w:t>
            </w:r>
            <w:r>
              <w:rPr>
                <w:rFonts w:ascii="宋体" w:cs="宋体" w:hint="eastAsia"/>
                <w:kern w:val="0"/>
                <w:sz w:val="22"/>
              </w:rPr>
              <w:t>]海关总署</w:t>
            </w:r>
          </w:p>
        </w:tc>
        <w:tc>
          <w:tcPr>
            <w:tcW w:w="1587"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实施单位</w:t>
            </w:r>
          </w:p>
        </w:tc>
        <w:tc>
          <w:tcPr>
            <w:tcW w:w="1055"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中华人民共和国武夷山海关</w:t>
            </w:r>
          </w:p>
        </w:tc>
      </w:tr>
      <w:tr>
        <w:trPr>
          <w:trHeight w:val="439"/>
        </w:trPr>
        <w:tc>
          <w:tcPr>
            <w:tcW w:w="987"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项目资金</w:t>
              <w:br/>
              <w:t>（万元）</w:t>
            </w:r>
          </w:p>
        </w:tc>
        <w:tc>
          <w:tcPr>
            <w:tcW w:w="1370"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kern w:val="0"/>
                <w:sz w:val="22"/>
              </w:rPr>
            </w:pPr>
            <w:r>
              <w:rPr>
                <w:rFonts w:ascii="宋体" w:cs="宋体" w:hint="eastAsia"/>
                <w:kern w:val="0"/>
                <w:sz w:val="22"/>
              </w:rPr>
              <w:t xml:space="preserve"> 年度资金总额：</w:t>
            </w:r>
          </w:p>
        </w:tc>
        <w:tc>
          <w:tcPr>
            <w:tcW w:w="21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23.00 </w:t>
            </w:r>
          </w:p>
        </w:tc>
        <w:tc>
          <w:tcPr>
            <w:tcW w:w="500"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kern w:val="0"/>
                <w:sz w:val="22"/>
              </w:rPr>
            </w:pPr>
            <w:r>
              <w:rPr>
                <w:rFonts w:ascii="宋体" w:cs="宋体" w:hint="eastAsia"/>
                <w:kern w:val="0"/>
                <w:sz w:val="22"/>
              </w:rPr>
              <w:t>执行率</w:t>
              <w:br/>
              <w:t>分值</w:t>
              <w:br/>
              <w:t>（</w:t>
            </w:r>
            <w:r>
              <w:rPr>
                <w:rFonts w:ascii="Times New Roman" w:cs="Times New Roman" w:hAnsi="Times New Roman"/>
                <w:kern w:val="0"/>
                <w:sz w:val="22"/>
              </w:rPr>
              <w:t>10</w:t>
            </w:r>
            <w:r>
              <w:rPr>
                <w:rFonts w:ascii="宋体" w:cs="宋体" w:hint="eastAsia"/>
                <w:kern w:val="0"/>
                <w:sz w:val="22"/>
              </w:rPr>
              <w:t>）</w:t>
            </w: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70"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其中：财政拨款</w:t>
            </w:r>
          </w:p>
        </w:tc>
        <w:tc>
          <w:tcPr>
            <w:tcW w:w="21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Times New Roman" w:cs="Times New Roman" w:hAnsi="Times New Roman"/>
                <w:kern w:val="0"/>
                <w:sz w:val="22"/>
              </w:rPr>
            </w:pPr>
            <w:r>
              <w:rPr>
                <w:rFonts w:ascii="Times New Roman" w:cs="Times New Roman" w:hAnsi="Times New Roman"/>
                <w:kern w:val="0"/>
                <w:sz w:val="22"/>
              </w:rPr>
              <w:t xml:space="preserve"> 23.00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70"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上年结转</w:t>
            </w:r>
          </w:p>
        </w:tc>
        <w:tc>
          <w:tcPr>
            <w:tcW w:w="21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370"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kern w:val="0"/>
                <w:sz w:val="22"/>
              </w:rPr>
            </w:pPr>
            <w:r>
              <w:rPr>
                <w:rFonts w:ascii="宋体" w:cs="宋体" w:hint="eastAsia"/>
                <w:kern w:val="0"/>
                <w:sz w:val="22"/>
              </w:rPr>
              <w:t xml:space="preserve">          其他资金</w:t>
            </w:r>
          </w:p>
        </w:tc>
        <w:tc>
          <w:tcPr>
            <w:tcW w:w="21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kern w:val="0"/>
                <w:sz w:val="22"/>
              </w:rPr>
            </w:pPr>
            <w:r>
              <w:rPr>
                <w:rFonts w:asci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1782"/>
        </w:trPr>
        <w:tc>
          <w:tcPr>
            <w:tcW w:w="261" w:type="pct"/>
            <w:tcBorders>
              <w:top w:val="nil"/>
              <w:left w:val="single" w:sz="4" w:space="0" w:color="auto"/>
              <w:bottom w:val="nil"/>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年</w:t>
              <w:br/>
              <w:t>度</w:t>
              <w:br/>
              <w:t>总</w:t>
              <w:br/>
              <w:t>体</w:t>
              <w:br/>
              <w:t>目</w:t>
              <w:br/>
              <w:t>标</w:t>
            </w:r>
          </w:p>
        </w:tc>
        <w:tc>
          <w:tcPr>
            <w:tcW w:w="4738"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kern w:val="0"/>
                <w:sz w:val="22"/>
              </w:rPr>
            </w:pPr>
            <w:r>
              <w:rPr>
                <w:rFonts w:ascii="宋体" w:cs="宋体"/>
                <w:kern w:val="0"/>
                <w:sz w:val="22"/>
              </w:rPr>
              <w:t xml:space="preserve">1.保障现场反恐演练等工作，加强海关口岸监管环节反恐怖工作能力建设，完善相关反恐怖工作措施，推进海关口岸监管人防物防技防体系建设。  </w:t>
            </w:r>
          </w:p>
          <w:p>
            <w:pPr>
              <w:widowControl/>
              <w:rPr>
                <w:rFonts w:ascii="宋体" w:cs="宋体"/>
                <w:kern w:val="0"/>
                <w:sz w:val="22"/>
              </w:rPr>
            </w:pPr>
            <w:r>
              <w:rPr>
                <w:rFonts w:ascii="宋体" w:cs="宋体"/>
                <w:kern w:val="0"/>
                <w:sz w:val="22"/>
              </w:rPr>
              <w:t xml:space="preserve">2.通过保障武夷山海关口岸监管工作用犬的日常训养及训练场地正常运转等，不断提升监管工作犬在口岸现场的搜检能力，辅助查发违禁货物/物品，增强口岸监管力量。     </w:t>
            </w:r>
          </w:p>
        </w:tc>
      </w:tr>
      <w:tr>
        <w:trPr>
          <w:trHeight w:val="600"/>
        </w:trPr>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绩</w:t>
              <w:br/>
              <w:t>效</w:t>
              <w:br/>
              <w:t>指</w:t>
              <w:br/>
              <w:t>标</w:t>
            </w:r>
          </w:p>
        </w:tc>
        <w:tc>
          <w:tcPr>
            <w:tcW w:w="725"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kern w:val="0"/>
                <w:sz w:val="22"/>
              </w:rPr>
            </w:pPr>
            <w:r>
              <w:rPr>
                <w:rFonts w:ascii="宋体" w:cs="宋体" w:hint="eastAsia"/>
                <w:kern w:val="0"/>
                <w:sz w:val="22"/>
              </w:rPr>
              <w:t>一级指标</w:t>
            </w:r>
          </w:p>
        </w:tc>
        <w:tc>
          <w:tcPr>
            <w:tcW w:w="92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二级指标</w:t>
            </w:r>
          </w:p>
        </w:tc>
        <w:tc>
          <w:tcPr>
            <w:tcW w:w="2033"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kern w:val="0"/>
                <w:sz w:val="22"/>
              </w:rPr>
            </w:pPr>
            <w:r>
              <w:rPr>
                <w:rFonts w:ascii="宋体" w:cs="宋体" w:hint="eastAsia"/>
                <w:kern w:val="0"/>
                <w:sz w:val="22"/>
              </w:rPr>
              <w:t>三级指标</w:t>
            </w:r>
          </w:p>
        </w:tc>
        <w:tc>
          <w:tcPr>
            <w:tcW w:w="55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指标值</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分值</w:t>
              <w:br/>
              <w:t>（90）</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25" w:type="pct"/>
            <w:vMerge w:val="restart"/>
            <w:tcBorders>
              <w:top w:val="nil"/>
              <w:left w:val="single" w:sz="4" w:space="0" w:color="auto"/>
              <w:bottom w:val="single" w:sz="4" w:space="0" w:color="auto"/>
              <w:right w:val="single" w:sz="4" w:space="0" w:color="auto"/>
            </w:tcBorders>
            <w:shd w:val="clear" w:color="auto" w:fill="auto"/>
            <w:vAlign w:val="center"/>
          </w:tcPr>
          <w:p>
            <w:pPr>
              <w:pStyle w:val="54"/>
              <w:widowControl/>
              <w:jc w:val="center"/>
              <w:rPr>
                <w:rFonts w:ascii="宋体" w:cs="宋体"/>
                <w:kern w:val="0"/>
                <w:sz w:val="22"/>
              </w:rPr>
            </w:pPr>
            <w:r>
              <w:rPr>
                <w:rFonts w:ascii="宋体" w:cs="宋体" w:hint="eastAsia"/>
                <w:kern w:val="0"/>
                <w:sz w:val="22"/>
              </w:rPr>
              <w:t>产出指标</w:t>
            </w:r>
          </w:p>
        </w:tc>
        <w:tc>
          <w:tcPr>
            <w:tcW w:w="924" w:type="pct"/>
            <w:vMerge w:val="restart"/>
            <w:tcBorders>
              <w:top w:val="nil"/>
              <w:left w:val="nil"/>
              <w:bottom w:val="single" w:sz="4" w:space="0" w:color="auto"/>
              <w:right w:val="single" w:sz="4" w:space="0" w:color="auto"/>
            </w:tcBorders>
            <w:shd w:val="clear" w:color="auto" w:fill="auto"/>
            <w:vAlign w:val="center"/>
          </w:tcPr>
          <w:p>
            <w:pPr>
              <w:pStyle w:val="57"/>
              <w:widowControl/>
              <w:jc w:val="center"/>
              <w:rPr>
                <w:rFonts w:ascii="宋体" w:cs="宋体"/>
                <w:kern w:val="0"/>
                <w:sz w:val="22"/>
              </w:rPr>
            </w:pPr>
            <w:r>
              <w:rPr>
                <w:rFonts w:ascii="宋体" w:cs="宋体" w:hint="eastAsia"/>
                <w:kern w:val="0"/>
                <w:sz w:val="22"/>
              </w:rPr>
              <w:t>数量指标</w:t>
            </w:r>
          </w:p>
        </w:tc>
        <w:tc>
          <w:tcPr>
            <w:tcW w:w="203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组织开展口岸反恐模拟演练次数</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1</w:t>
            </w:r>
            <w:r>
              <w:rPr>
                <w:rFonts w:ascii="宋体" w:eastAsia="宋体" w:cs="宋体"/>
                <w:sz w:val="22"/>
              </w:rPr>
              <w:t>次</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613"/>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203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保障口岸监管工作用犬只数</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2</w:t>
            </w:r>
            <w:r>
              <w:rPr>
                <w:rFonts w:ascii="宋体" w:eastAsia="宋体" w:cs="宋体"/>
                <w:sz w:val="22"/>
              </w:rPr>
              <w:t>只</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15</w:t>
            </w:r>
          </w:p>
        </w:tc>
      </w:tr>
      <w:tr>
        <w:trPr>
          <w:trHeight w:val="418"/>
        </w:trPr>
        <w:tc>
          <w:tcPr>
            <w:tcW w:w="1120"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924" w:type="pct"/>
            <w:vMerge w:val="restart"/>
            <w:tcBorders>
              <w:top w:val="nil"/>
              <w:left w:val="nil"/>
              <w:bottom w:val="single" w:sz="4" w:space="0" w:color="auto"/>
              <w:right w:val="single" w:sz="4" w:space="0" w:color="auto"/>
            </w:tcBorders>
            <w:shd w:val="clear" w:color="auto" w:fill="auto"/>
            <w:vAlign w:val="center"/>
          </w:tcPr>
          <w:p>
            <w:pPr>
              <w:pStyle w:val="56"/>
              <w:widowControl/>
              <w:jc w:val="center"/>
              <w:rPr>
                <w:rFonts w:ascii="宋体" w:cs="宋体"/>
                <w:kern w:val="0"/>
                <w:sz w:val="22"/>
              </w:rPr>
            </w:pPr>
            <w:r>
              <w:rPr>
                <w:rFonts w:ascii="宋体" w:cs="宋体" w:hint="eastAsia"/>
                <w:kern w:val="0"/>
                <w:sz w:val="22"/>
              </w:rPr>
              <w:t>质量指标</w:t>
            </w:r>
          </w:p>
        </w:tc>
        <w:tc>
          <w:tcPr>
            <w:tcW w:w="203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工作犬截获违禁物的有效开箱率</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90</w:t>
            </w:r>
            <w:r>
              <w:rPr>
                <w:rFonts w:ascii="宋体" w:eastAsia="宋体" w:cs="宋体"/>
                <w:sz w:val="22"/>
              </w:rPr>
              <w:t>%</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18"/>
        </w:trPr>
        <w:tc>
          <w:tcPr>
            <w:tcW w:w="1120"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nil"/>
              <w:bottom w:val="single" w:sz="4" w:space="0" w:color="auto"/>
              <w:right w:val="single" w:sz="4" w:space="0" w:color="auto"/>
            </w:tcBorders>
            <w:shd w:val="clear" w:color="auto" w:fill="auto"/>
            <w:vAlign w:val="center"/>
          </w:tcPr>
          <w:p/>
        </w:tc>
        <w:tc>
          <w:tcPr>
            <w:tcW w:w="2033" w:type="pct"/>
            <w:gridSpan w:val="2"/>
            <w:tcBorders>
              <w:top w:val="single" w:sz="4" w:space="0" w:color="auto"/>
              <w:left w:val="nil"/>
              <w:bottom w:val="single" w:sz="4" w:space="0" w:color="auto"/>
              <w:right w:val="nil"/>
            </w:tcBorders>
            <w:shd w:val="clear" w:color="auto" w:fill="auto"/>
            <w:vAlign w:val="center"/>
          </w:tcPr>
          <w:p>
            <w:pPr>
              <w:rPr>
                <w:rFonts w:ascii="宋体" w:eastAsia="宋体" w:cs="宋体"/>
                <w:sz w:val="22"/>
              </w:rPr>
            </w:pPr>
            <w:r>
              <w:rPr>
                <w:rFonts w:ascii="宋体" w:eastAsia="宋体" w:cs="宋体"/>
                <w:sz w:val="22"/>
              </w:rPr>
              <w:t>口岸反恐模拟演练（次）完成率</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90</w:t>
            </w:r>
            <w:r>
              <w:rPr>
                <w:rFonts w:ascii="宋体" w:eastAsia="宋体" w:cs="宋体"/>
                <w:sz w:val="22"/>
              </w:rPr>
              <w:t>%</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10</w:t>
            </w:r>
          </w:p>
        </w:tc>
      </w:tr>
      <w:tr>
        <w:trPr>
          <w:trHeight w:val="439"/>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7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效益指标</w:t>
            </w:r>
          </w:p>
        </w:tc>
        <w:tc>
          <w:tcPr>
            <w:tcW w:w="924" w:type="pct"/>
            <w:tcBorders>
              <w:top w:val="nil"/>
              <w:left w:val="nil"/>
              <w:bottom w:val="single" w:sz="4" w:space="0" w:color="auto"/>
              <w:right w:val="single" w:sz="4" w:space="0" w:color="auto"/>
            </w:tcBorders>
            <w:shd w:val="clear" w:color="auto" w:fill="auto"/>
            <w:vAlign w:val="center"/>
          </w:tcPr>
          <w:p>
            <w:pPr>
              <w:widowControl/>
              <w:jc w:val="center"/>
              <w:rPr>
                <w:rFonts w:ascii="宋体" w:cs="宋体"/>
                <w:kern w:val="0"/>
                <w:sz w:val="22"/>
              </w:rPr>
            </w:pPr>
            <w:r>
              <w:rPr>
                <w:rFonts w:ascii="宋体" w:cs="宋体" w:hint="eastAsia"/>
                <w:kern w:val="0"/>
                <w:sz w:val="22"/>
              </w:rPr>
              <w:t>社会效益指标</w:t>
            </w:r>
          </w:p>
        </w:tc>
        <w:tc>
          <w:tcPr>
            <w:tcW w:w="2033"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kern w:val="0"/>
                <w:sz w:val="22"/>
              </w:rPr>
            </w:pPr>
            <w:r>
              <w:rPr>
                <w:rFonts w:ascii="宋体" w:eastAsia="宋体" w:cs="宋体"/>
                <w:sz w:val="22"/>
              </w:rPr>
              <w:t>海关业务工作保障率</w:t>
            </w:r>
          </w:p>
        </w:tc>
        <w:tc>
          <w:tcPr>
            <w:tcW w:w="554" w:type="pct"/>
            <w:tcBorders>
              <w:top w:val="nil"/>
              <w:left w:val="single" w:sz="4" w:space="0" w:color="auto"/>
              <w:bottom w:val="single" w:sz="4" w:space="0" w:color="auto"/>
              <w:right w:val="single" w:sz="4" w:space="0" w:color="auto"/>
            </w:tcBorders>
            <w:shd w:val="clear" w:color="auto" w:fill="auto"/>
            <w:vAlign w:val="center"/>
          </w:tcPr>
          <w:p>
            <w:pPr>
              <w:jc w:val="center"/>
              <w:rPr>
                <w:rFonts w:ascii="宋体" w:eastAsia="宋体" w:cs="宋体"/>
                <w:sz w:val="22"/>
              </w:rPr>
            </w:pPr>
            <w:r>
              <w:rPr>
                <w:rFonts w:ascii="宋体" w:eastAsia="宋体" w:cs="宋体"/>
                <w:sz w:val="22"/>
              </w:rPr>
              <w:t>≥</w:t>
            </w:r>
            <w:r>
              <w:rPr>
                <w:rFonts w:ascii="Times New Roman" w:eastAsia="宋体" w:cs="Times New Roman" w:hAnsi="Times New Roman"/>
                <w:sz w:val="22"/>
              </w:rPr>
              <w:t>95</w:t>
            </w:r>
            <w:r>
              <w:rPr>
                <w:rFonts w:ascii="宋体" w:eastAsia="宋体" w:cs="宋体"/>
                <w:sz w:val="22"/>
              </w:rPr>
              <w:t>%</w:t>
            </w:r>
          </w:p>
        </w:tc>
        <w:tc>
          <w:tcPr>
            <w:tcW w:w="500" w:type="pct"/>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2"/>
              </w:rPr>
            </w:pPr>
            <w:r>
              <w:rPr>
                <w:rFonts w:ascii="Times New Roman" w:cs="Times New Roman" w:hAnsi="Times New Roman"/>
                <w:kern w:val="0"/>
                <w:sz w:val="22"/>
              </w:rPr>
              <w:t>40</w:t>
            </w:r>
          </w:p>
        </w:tc>
      </w:tr>
    </w:tbl>
    <w:p>
      <w:pPr>
        <w:jc w:val="left"/>
        <w:rPr>
          <w:rFonts w:ascii="Times New Roman" w:eastAsia="方正仿宋_GBK" w:hAnsi="Times New Roman"/>
          <w:sz w:val="32"/>
          <w:szCs w:val="32"/>
        </w:rPr>
      </w:pPr>
    </w:p>
    <w:p>
      <w:pPr>
        <w:widowControl/>
        <w:jc w:val="left"/>
        <w:rPr>
          <w:rFonts w:ascii="Times New Roman" w:eastAsia="方正仿宋_GBK" w:hAnsi="Times New Roman"/>
          <w:sz w:val="32"/>
          <w:szCs w:val="32"/>
        </w:rPr>
      </w:pPr>
      <w:bookmarkStart w:id="1" w:name="_GoBack"/>
      <w:bookmarkEnd w:id="1"/>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黑体">
    <w:altName w:val="华文细黑"/>
    <w:panose1 w:val="02010609060101010101"/>
    <w:charset w:val="86"/>
    <w:family w:val="modern"/>
    <w:pitch w:val="variable"/>
    <w:sig w:usb0="800002BF" w:usb1="38CF7CFA"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Microsoft JhengHei">
    <w:altName w:val="方正仿宋_GBK"/>
    <w:panose1 w:val="020B0604030504040204"/>
    <w:charset w:val="88"/>
    <w:family w:val="swiss"/>
    <w:pitch w:val="variable"/>
    <w:sig w:usb0="00000087" w:usb1="288F4000" w:usb2="00000016" w:usb3="00000000" w:csb0="00100009" w:csb1="00000000"/>
  </w:font>
  <w:font w:name="微软雅黑">
    <w:altName w:val="华文细黑"/>
    <w:panose1 w:val="020B0503020204020204"/>
    <w:charset w:val="86"/>
    <w:family w:val="swiss"/>
    <w:pitch w:val="variable"/>
    <w:sig w:usb0="80000287" w:usb1="280F3C52" w:usb2="00000016" w:usb3="00000000" w:csb0="0004001F" w:csb1="00000000"/>
  </w:font>
  <w:font w:name="Arial">
    <w:altName w:val="DejaVu Sans"/>
    <w:panose1 w:val="020B0604020202020204"/>
    <w:charset w:val="00"/>
    <w:family w:val="swiss"/>
    <w:pitch w:val="variable"/>
    <w:sig w:usb0="E0002AFF" w:usb1="C0007843" w:usb2="00000009" w:usb3="00000000" w:csb0="000001FF" w:csb1="00000000"/>
  </w:font>
  <w:font w:name="仿宋_GB2312">
    <w:altName w:val="方正仿宋_GBK"/>
    <w:panose1 w:val="02010609030101010101"/>
    <w:charset w:val="86"/>
    <w:family w:val="modern"/>
    <w:pitch w:val="variable"/>
    <w:sig w:usb0="00000001" w:usb1="080E0000" w:usb2="00000010" w:usb3="00000000" w:csb0="00040000" w:csb1="00000000"/>
  </w:font>
  <w:font w:name="Lucida Sans">
    <w:altName w:val="DejaVu Sans"/>
    <w:panose1 w:val="020B0602030504020204"/>
    <w:charset w:val="00"/>
    <w:family w:val="auto"/>
    <w:pitch w:val="variable"/>
    <w:sig w:usb0="00000003" w:usb1="00000000" w:usb2="00000000" w:usb3="00000000" w:csb0="2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pPr>
    <w:r>
      <mc:AlternateContent>
        <mc:Choice Requires="wps">
          <w:drawing>
            <wp:anchor distT="0" distB="0" distL="114297" distR="114297" simplePos="0" relativeHeight="27" behindDoc="0" locked="0" layoutInCell="1" hidden="0" allowOverlap="1">
              <wp:simplePos x="0" y="0"/>
              <wp:positionH relativeFrom="margin">
                <wp:align>center</wp:align>
              </wp:positionH>
              <wp:positionV relativeFrom="paragraph">
                <wp:posOffset>3131821</wp:posOffset>
              </wp:positionV>
              <wp:extent cx="127000" cy="146177"/>
              <wp:effectExtent l="0" t="0" r="0" b="0"/>
              <wp:wrapNone/>
              <wp:docPr id="4" name="文本框 3 6"/>
              <wp:cNvGraphicFramePr>
                <a:graphicFrameLocks noChangeAspect="0"/>
              </wp:cNvGraphicFramePr>
              <a:graphic>
                <a:graphicData uri="http://schemas.microsoft.com/office/word/2010/wordprocessingShape">
                  <wps:wsp>
                    <wps:cNvSpPr/>
                    <wps:spPr>
                      <a:xfrm rot="0">
                        <a:off x="0" y="0"/>
                        <a:ext cx="127000" cy="146177"/>
                      </a:xfrm>
                      <a:prstGeom prst="rect"/>
                      <a:noFill/>
                      <a:ln w="9525" cmpd="sng" cap="flat">
                        <a:noFill/>
                        <a:prstDash val="solid"/>
                        <a:miter/>
                      </a:ln>
                    </wps:spPr>
                    <wps:txbx id="5">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w:t>
                          </w:r>
                          <w:r>
                            <w:rPr>
                              <w:sz w:val="20"/>
                              <w:szCs w:val="24"/>
                            </w:rPr>
                            <w:fldChar w:fldCharType="end"/>
                          </w:r>
                        </w:p>
                      </w:txbxContent>
                    </wps:txbx>
                    <wps:bodyPr vert="horz" wrap="none" lIns="0" tIns="0" rIns="0" bIns="0" anchor="t" anchorCtr="0" upright="1">
                      <a:spAutoFit/>
                    </wps:bodyPr>
                  </wps:wsp>
                </a:graphicData>
              </a:graphic>
            </wp:anchor>
          </w:drawing>
        </mc:Choice>
        <mc:Fallback>
          <w:pict>
            <v:shape type="#_x0000_t202" id="文本框 3 6 6" o:spid="_x0000_s6" filled="f" stroked="f" style="position:absolute;margin-left:-123.29993pt;margin-top:246.60008pt;width:10.000015pt;height:11.510017pt;z-index:27;mso-position-horizontal:center;mso-position-horizontal-relative:margin;mso-position-vertical:absolute;mso-wrap-distance-left:8.99983pt;mso-wrap-distance-right:8.99983pt;mso-wrap-style:none;">
              <v:stroke color="#000000"/>
              <v:textbox id="853" inset="0mm,0mm,0mm,0mm" o:insetmode="custom" style="layout-flow:horizontal;v-text-anchor:top;mso-fit-shape-to-text:t;">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w:t>
                    </w:r>
                    <w:r>
                      <w:rPr>
                        <w:sz w:val="20"/>
                        <w:szCs w:val="24"/>
                      </w:rP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NjgzMTdhNDA0ZGNiMmM4ZmMwMjQ4MjZlOTc3MmMwMj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styleId="16">
    <w:name w:val="header"/>
    <w:basedOn w:val="0"/>
    <w:pPr>
      <w:tabs>
        <w:tab w:val="center" w:pos="4153"/>
        <w:tab w:val="right" w:pos="8306"/>
      </w:tabs>
      <w:snapToGrid w:val="0"/>
    </w:pPr>
    <w:rPr>
      <w:sz w:val="18"/>
    </w:rPr>
  </w:style>
  <w:style w:type="character" w:styleId="17">
    <w:name w:val="page number"/>
    <w:basedOn w:val="10"/>
  </w:style>
  <w:style w:type="paragraph" w:customStyle="1" w:styleId="18">
    <w:name w:val="样式 4 10 磅"/>
    <w:basedOn w:val="0"/>
    <w:rPr>
      <w:rFonts w:ascii="Times New Roman" w:cs="Times New Roman" w:hAnsi="Times New Roman"/>
      <w:szCs w:val="21"/>
    </w:rPr>
  </w:style>
  <w:style w:type="paragraph" w:customStyle="1" w:styleId="19">
    <w:name w:val="样式 51 10 磅"/>
    <w:basedOn w:val="0"/>
    <w:rPr>
      <w:rFonts w:ascii="Times New Roman" w:cs="Times New Roman" w:hAnsi="Times New Roman"/>
      <w:szCs w:val="21"/>
    </w:rPr>
  </w:style>
  <w:style w:type="paragraph" w:customStyle="1" w:styleId="20">
    <w:name w:val="样式 36 10 磅"/>
    <w:basedOn w:val="0"/>
    <w:rPr>
      <w:rFonts w:ascii="Times New Roman" w:cs="Times New Roman" w:hAnsi="Times New Roman"/>
      <w:szCs w:val="21"/>
    </w:rPr>
  </w:style>
  <w:style w:type="paragraph" w:customStyle="1" w:styleId="21">
    <w:name w:val="样式 49 10 磅"/>
    <w:basedOn w:val="0"/>
    <w:rPr>
      <w:rFonts w:ascii="Times New Roman" w:cs="Times New Roman" w:hAnsi="Times New Roman"/>
      <w:szCs w:val="21"/>
    </w:rPr>
  </w:style>
  <w:style w:type="character" w:customStyle="1" w:styleId="22">
    <w:name w:val="font41"/>
    <w:basedOn w:val="10"/>
    <w:rPr>
      <w:rFonts w:ascii="宋体" w:eastAsia="宋体" w:cs="宋体"/>
      <w:color w:val="000000"/>
      <w:sz w:val="22"/>
      <w:szCs w:val="22"/>
      <w:u w:val="none"/>
    </w:rPr>
  </w:style>
  <w:style w:type="character" w:customStyle="1" w:styleId="23">
    <w:name w:val="font61"/>
    <w:basedOn w:val="10"/>
    <w:rPr>
      <w:rFonts w:ascii="宋体" w:eastAsia="宋体" w:cs="宋体"/>
      <w:color w:val="000000"/>
      <w:sz w:val="22"/>
      <w:szCs w:val="22"/>
      <w:u w:val="none"/>
    </w:rPr>
  </w:style>
  <w:style w:type="character" w:customStyle="1" w:styleId="24">
    <w:name w:val="font71"/>
    <w:basedOn w:val="10"/>
    <w:rPr>
      <w:rFonts w:ascii="Times New Roman" w:cs="Times New Roman" w:hAnsi="Times New Roman"/>
      <w:color w:val="000000"/>
      <w:sz w:val="22"/>
      <w:szCs w:val="22"/>
      <w:u w:val="none"/>
    </w:rPr>
  </w:style>
  <w:style w:type="character" w:customStyle="1" w:styleId="25">
    <w:name w:val="font51"/>
    <w:basedOn w:val="10"/>
    <w:rPr>
      <w:rFonts w:ascii="宋体" w:eastAsia="宋体" w:cs="宋体"/>
      <w:color w:val="000000"/>
      <w:sz w:val="22"/>
      <w:szCs w:val="22"/>
      <w:u w:val="none"/>
    </w:rPr>
  </w:style>
  <w:style w:type="character" w:customStyle="1" w:styleId="26">
    <w:name w:val="font01"/>
    <w:basedOn w:val="10"/>
    <w:rPr>
      <w:rFonts w:ascii="宋体" w:eastAsia="宋体" w:cs="宋体"/>
      <w:color w:val="000000"/>
      <w:sz w:val="22"/>
      <w:szCs w:val="22"/>
      <w:u w:val="none"/>
    </w:rPr>
  </w:style>
  <w:style w:type="paragraph" w:customStyle="1" w:styleId="27">
    <w:name w:val="样式 2 10 磅"/>
    <w:basedOn w:val="0"/>
    <w:rPr>
      <w:rFonts w:ascii="Times New Roman" w:cs="Times New Roman" w:hAnsi="Times New Roman"/>
      <w:szCs w:val="21"/>
    </w:rPr>
  </w:style>
  <w:style w:type="paragraph" w:customStyle="1" w:styleId="28">
    <w:name w:val="样式 1 10 磅"/>
    <w:basedOn w:val="0"/>
    <w:rPr>
      <w:rFonts w:ascii="Times New Roman" w:cs="Times New Roman" w:hAnsi="Times New Roman"/>
      <w:szCs w:val="21"/>
    </w:rPr>
  </w:style>
  <w:style w:type="paragraph" w:styleId="29">
    <w:name w:val="Balloon Text"/>
    <w:basedOn w:val="0"/>
    <w:rPr>
      <w:sz w:val="18"/>
      <w:szCs w:val="18"/>
    </w:rPr>
  </w:style>
  <w:style w:type="paragraph" w:customStyle="1" w:styleId="30">
    <w:name w:val="样式 10 磅"/>
    <w:pPr>
      <w:widowControl w:val="0"/>
      <w:jc w:val="both"/>
    </w:pPr>
    <w:rPr>
      <w:rFonts w:ascii="Calibri" w:eastAsia="宋体" w:cs="Arial" w:hAnsi="Calibri"/>
      <w:kern w:val="2"/>
      <w:sz w:val="21"/>
      <w:szCs w:val="22"/>
      <w:lang w:val="en-US" w:eastAsia="zh-CN" w:bidi="ar-SA"/>
    </w:rPr>
  </w:style>
  <w:style w:type="paragraph" w:customStyle="1" w:styleId="31">
    <w:name w:val="样式 3 10 磅"/>
    <w:pPr>
      <w:widowControl w:val="0"/>
      <w:jc w:val="both"/>
    </w:pPr>
    <w:rPr>
      <w:rFonts w:ascii="Calibri" w:eastAsia="宋体" w:cs="Arial" w:hAnsi="Calibri"/>
      <w:kern w:val="2"/>
      <w:sz w:val="21"/>
      <w:szCs w:val="22"/>
      <w:lang w:val="en-US" w:eastAsia="zh-CN" w:bidi="ar-SA"/>
    </w:rPr>
  </w:style>
  <w:style w:type="paragraph" w:customStyle="1" w:styleId="32">
    <w:name w:val="样式 5 10 磅"/>
    <w:pPr>
      <w:widowControl w:val="0"/>
      <w:jc w:val="both"/>
    </w:pPr>
    <w:rPr>
      <w:rFonts w:ascii="Calibri" w:eastAsia="宋体" w:cs="Arial" w:hAnsi="Calibri"/>
      <w:kern w:val="2"/>
      <w:sz w:val="21"/>
      <w:szCs w:val="22"/>
      <w:lang w:val="en-US" w:eastAsia="zh-CN" w:bidi="ar-SA"/>
    </w:rPr>
  </w:style>
  <w:style w:type="paragraph" w:customStyle="1" w:styleId="33">
    <w:name w:val="样式 6 10 磅"/>
    <w:pPr>
      <w:widowControl w:val="0"/>
      <w:jc w:val="both"/>
    </w:pPr>
    <w:rPr>
      <w:rFonts w:ascii="Calibri" w:eastAsia="宋体" w:cs="Arial" w:hAnsi="Calibri"/>
      <w:kern w:val="2"/>
      <w:sz w:val="21"/>
      <w:szCs w:val="22"/>
      <w:lang w:val="en-US" w:eastAsia="zh-CN" w:bidi="ar-SA"/>
    </w:rPr>
  </w:style>
  <w:style w:type="paragraph" w:customStyle="1" w:styleId="34">
    <w:name w:val="样式 7 10 磅"/>
    <w:pPr>
      <w:widowControl w:val="0"/>
      <w:jc w:val="both"/>
    </w:pPr>
    <w:rPr>
      <w:rFonts w:ascii="Calibri" w:eastAsia="宋体" w:cs="Arial" w:hAnsi="Calibri"/>
      <w:kern w:val="2"/>
      <w:sz w:val="21"/>
      <w:szCs w:val="22"/>
      <w:lang w:val="en-US" w:eastAsia="zh-CN" w:bidi="ar-SA"/>
    </w:rPr>
  </w:style>
  <w:style w:type="paragraph" w:customStyle="1" w:styleId="35">
    <w:name w:val="样式 8 10 磅"/>
    <w:pPr>
      <w:widowControl w:val="0"/>
      <w:jc w:val="both"/>
    </w:pPr>
    <w:rPr>
      <w:rFonts w:ascii="Calibri" w:eastAsia="宋体" w:cs="Arial" w:hAnsi="Calibri"/>
      <w:kern w:val="2"/>
      <w:sz w:val="21"/>
      <w:szCs w:val="22"/>
      <w:lang w:val="en-US" w:eastAsia="zh-CN" w:bidi="ar-SA"/>
    </w:rPr>
  </w:style>
  <w:style w:type="paragraph" w:customStyle="1" w:styleId="36">
    <w:name w:val="样式 9 10 磅"/>
    <w:pPr>
      <w:widowControl w:val="0"/>
      <w:jc w:val="both"/>
    </w:pPr>
    <w:rPr>
      <w:rFonts w:ascii="Calibri" w:eastAsia="宋体" w:cs="Arial" w:hAnsi="Calibri"/>
      <w:kern w:val="2"/>
      <w:sz w:val="21"/>
      <w:szCs w:val="22"/>
      <w:lang w:val="en-US" w:eastAsia="zh-CN" w:bidi="ar-SA"/>
    </w:rPr>
  </w:style>
  <w:style w:type="paragraph" w:customStyle="1" w:styleId="37">
    <w:name w:val="样式 10 10 磅"/>
    <w:pPr>
      <w:widowControl w:val="0"/>
      <w:jc w:val="both"/>
    </w:pPr>
    <w:rPr>
      <w:rFonts w:ascii="Calibri" w:eastAsia="宋体" w:cs="Arial" w:hAnsi="Calibri"/>
      <w:kern w:val="2"/>
      <w:sz w:val="21"/>
      <w:szCs w:val="22"/>
      <w:lang w:val="en-US" w:eastAsia="zh-CN" w:bidi="ar-SA"/>
    </w:rPr>
  </w:style>
  <w:style w:type="paragraph" w:customStyle="1" w:styleId="38">
    <w:name w:val="样式 11 10 磅"/>
    <w:pPr>
      <w:widowControl w:val="0"/>
      <w:jc w:val="both"/>
    </w:pPr>
    <w:rPr>
      <w:rFonts w:ascii="Calibri" w:eastAsia="宋体" w:cs="Arial" w:hAnsi="Calibri"/>
      <w:kern w:val="2"/>
      <w:sz w:val="21"/>
      <w:szCs w:val="22"/>
      <w:lang w:val="en-US" w:eastAsia="zh-CN" w:bidi="ar-SA"/>
    </w:rPr>
  </w:style>
  <w:style w:type="paragraph" w:customStyle="1" w:styleId="39">
    <w:name w:val="样式 12 10 磅"/>
    <w:pPr>
      <w:widowControl w:val="0"/>
      <w:jc w:val="both"/>
    </w:pPr>
    <w:rPr>
      <w:rFonts w:ascii="Calibri" w:eastAsia="宋体" w:cs="Arial" w:hAnsi="Calibri"/>
      <w:kern w:val="2"/>
      <w:sz w:val="21"/>
      <w:szCs w:val="22"/>
      <w:lang w:val="en-US" w:eastAsia="zh-CN" w:bidi="ar-SA"/>
    </w:rPr>
  </w:style>
  <w:style w:type="paragraph" w:customStyle="1" w:styleId="40">
    <w:name w:val="样式 13 10 磅"/>
    <w:pPr>
      <w:widowControl w:val="0"/>
      <w:jc w:val="both"/>
    </w:pPr>
    <w:rPr>
      <w:rFonts w:ascii="Calibri" w:eastAsia="宋体" w:cs="Arial" w:hAnsi="Calibri"/>
      <w:kern w:val="2"/>
      <w:sz w:val="21"/>
      <w:szCs w:val="22"/>
      <w:lang w:val="en-US" w:eastAsia="zh-CN" w:bidi="ar-SA"/>
    </w:rPr>
  </w:style>
  <w:style w:type="paragraph" w:customStyle="1" w:styleId="41">
    <w:name w:val="样式 14 10 磅"/>
    <w:pPr>
      <w:widowControl w:val="0"/>
      <w:jc w:val="both"/>
    </w:pPr>
    <w:rPr>
      <w:rFonts w:ascii="Calibri" w:eastAsia="宋体" w:cs="Arial" w:hAnsi="Calibri"/>
      <w:kern w:val="2"/>
      <w:sz w:val="21"/>
      <w:szCs w:val="22"/>
      <w:lang w:val="en-US" w:eastAsia="zh-CN" w:bidi="ar-SA"/>
    </w:rPr>
  </w:style>
  <w:style w:type="paragraph" w:customStyle="1" w:styleId="42">
    <w:name w:val="样式 15 10 磅"/>
    <w:pPr>
      <w:widowControl w:val="0"/>
      <w:jc w:val="both"/>
    </w:pPr>
    <w:rPr>
      <w:rFonts w:ascii="Calibri" w:eastAsia="宋体" w:cs="Arial" w:hAnsi="Calibri"/>
      <w:kern w:val="2"/>
      <w:sz w:val="21"/>
      <w:szCs w:val="22"/>
      <w:lang w:val="en-US" w:eastAsia="zh-CN" w:bidi="ar-SA"/>
    </w:rPr>
  </w:style>
  <w:style w:type="paragraph" w:customStyle="1" w:styleId="43">
    <w:name w:val="样式 16 10 磅"/>
    <w:pPr>
      <w:widowControl w:val="0"/>
      <w:jc w:val="both"/>
    </w:pPr>
    <w:rPr>
      <w:rFonts w:ascii="Calibri" w:eastAsia="宋体" w:cs="Arial" w:hAnsi="Calibri"/>
      <w:kern w:val="2"/>
      <w:sz w:val="21"/>
      <w:szCs w:val="22"/>
      <w:lang w:val="en-US" w:eastAsia="zh-CN" w:bidi="ar-SA"/>
    </w:rPr>
  </w:style>
  <w:style w:type="paragraph" w:customStyle="1" w:styleId="44">
    <w:name w:val="样式 17 10 磅"/>
    <w:pPr>
      <w:widowControl w:val="0"/>
      <w:jc w:val="both"/>
    </w:pPr>
    <w:rPr>
      <w:rFonts w:ascii="Calibri" w:eastAsia="宋体" w:cs="Arial" w:hAnsi="Calibri"/>
      <w:kern w:val="2"/>
      <w:sz w:val="21"/>
      <w:szCs w:val="22"/>
      <w:lang w:val="en-US" w:eastAsia="zh-CN" w:bidi="ar-SA"/>
    </w:rPr>
  </w:style>
  <w:style w:type="paragraph" w:customStyle="1" w:styleId="45">
    <w:name w:val="样式 18 10 磅"/>
    <w:pPr>
      <w:widowControl w:val="0"/>
      <w:jc w:val="both"/>
    </w:pPr>
    <w:rPr>
      <w:rFonts w:ascii="Calibri" w:eastAsia="宋体" w:cs="Arial" w:hAnsi="Calibri"/>
      <w:kern w:val="2"/>
      <w:sz w:val="21"/>
      <w:szCs w:val="22"/>
      <w:lang w:val="en-US" w:eastAsia="zh-CN" w:bidi="ar-SA"/>
    </w:rPr>
  </w:style>
  <w:style w:type="paragraph" w:customStyle="1" w:styleId="46">
    <w:name w:val="样式 19 10 磅"/>
    <w:pPr>
      <w:widowControl w:val="0"/>
      <w:jc w:val="both"/>
    </w:pPr>
    <w:rPr>
      <w:rFonts w:ascii="Calibri" w:eastAsia="宋体" w:cs="Arial" w:hAnsi="Calibri"/>
      <w:kern w:val="2"/>
      <w:sz w:val="21"/>
      <w:szCs w:val="22"/>
      <w:lang w:val="en-US" w:eastAsia="zh-CN" w:bidi="ar-SA"/>
    </w:rPr>
  </w:style>
  <w:style w:type="paragraph" w:customStyle="1" w:styleId="47">
    <w:name w:val="样式 20 10 磅"/>
    <w:pPr>
      <w:widowControl w:val="0"/>
      <w:jc w:val="both"/>
    </w:pPr>
    <w:rPr>
      <w:rFonts w:ascii="Calibri" w:eastAsia="宋体" w:cs="Arial" w:hAnsi="Calibri"/>
      <w:kern w:val="2"/>
      <w:sz w:val="21"/>
      <w:szCs w:val="22"/>
      <w:lang w:val="en-US" w:eastAsia="zh-CN" w:bidi="ar-SA"/>
    </w:rPr>
  </w:style>
  <w:style w:type="paragraph" w:customStyle="1" w:styleId="48">
    <w:name w:val="样式 21 10 磅"/>
    <w:pPr>
      <w:widowControl w:val="0"/>
      <w:jc w:val="both"/>
    </w:pPr>
    <w:rPr>
      <w:rFonts w:ascii="Calibri" w:eastAsia="宋体" w:cs="Arial" w:hAnsi="Calibri"/>
      <w:kern w:val="2"/>
      <w:sz w:val="21"/>
      <w:szCs w:val="22"/>
      <w:lang w:val="en-US" w:eastAsia="zh-CN" w:bidi="ar-SA"/>
    </w:rPr>
  </w:style>
  <w:style w:type="paragraph" w:customStyle="1" w:styleId="49">
    <w:name w:val="样式 22 10 磅"/>
    <w:pPr>
      <w:widowControl w:val="0"/>
      <w:jc w:val="both"/>
    </w:pPr>
    <w:rPr>
      <w:rFonts w:ascii="Calibri" w:eastAsia="宋体" w:cs="Arial" w:hAnsi="Calibri"/>
      <w:kern w:val="2"/>
      <w:sz w:val="21"/>
      <w:szCs w:val="22"/>
      <w:lang w:val="en-US" w:eastAsia="zh-CN" w:bidi="ar-SA"/>
    </w:rPr>
  </w:style>
  <w:style w:type="paragraph" w:customStyle="1" w:styleId="50">
    <w:name w:val="样式 23 10 磅"/>
    <w:pPr>
      <w:widowControl w:val="0"/>
      <w:jc w:val="both"/>
    </w:pPr>
    <w:rPr>
      <w:rFonts w:ascii="Calibri" w:eastAsia="宋体" w:cs="Arial" w:hAnsi="Calibri"/>
      <w:kern w:val="2"/>
      <w:sz w:val="21"/>
      <w:szCs w:val="22"/>
      <w:lang w:val="en-US" w:eastAsia="zh-CN" w:bidi="ar-SA"/>
    </w:rPr>
  </w:style>
  <w:style w:type="paragraph" w:customStyle="1" w:styleId="51">
    <w:name w:val="样式 24 10 磅"/>
    <w:pPr>
      <w:widowControl w:val="0"/>
      <w:jc w:val="both"/>
    </w:pPr>
    <w:rPr>
      <w:rFonts w:ascii="Calibri" w:eastAsia="宋体" w:cs="Arial" w:hAnsi="Calibri"/>
      <w:kern w:val="2"/>
      <w:sz w:val="21"/>
      <w:szCs w:val="22"/>
      <w:lang w:val="en-US" w:eastAsia="zh-CN" w:bidi="ar-SA"/>
    </w:rPr>
  </w:style>
  <w:style w:type="paragraph" w:customStyle="1" w:styleId="52">
    <w:name w:val="样式 25 10 磅"/>
    <w:pPr>
      <w:widowControl w:val="0"/>
      <w:jc w:val="both"/>
    </w:pPr>
    <w:rPr>
      <w:rFonts w:ascii="Calibri" w:eastAsia="宋体" w:cs="Arial" w:hAnsi="Calibri"/>
      <w:kern w:val="2"/>
      <w:sz w:val="21"/>
      <w:szCs w:val="22"/>
      <w:lang w:val="en-US" w:eastAsia="zh-CN" w:bidi="ar-SA"/>
    </w:rPr>
  </w:style>
  <w:style w:type="paragraph" w:customStyle="1" w:styleId="53">
    <w:name w:val="样式 26 10 磅"/>
    <w:pPr>
      <w:widowControl w:val="0"/>
      <w:jc w:val="both"/>
    </w:pPr>
    <w:rPr>
      <w:rFonts w:ascii="Calibri" w:eastAsia="宋体" w:cs="Arial" w:hAnsi="Calibri"/>
      <w:kern w:val="2"/>
      <w:sz w:val="21"/>
      <w:szCs w:val="22"/>
      <w:lang w:val="en-US" w:eastAsia="zh-CN" w:bidi="ar-SA"/>
    </w:rPr>
  </w:style>
  <w:style w:type="paragraph" w:customStyle="1" w:styleId="54">
    <w:name w:val="样式 27 10 磅"/>
    <w:pPr>
      <w:widowControl w:val="0"/>
      <w:jc w:val="both"/>
    </w:pPr>
    <w:rPr>
      <w:rFonts w:ascii="Calibri" w:eastAsia="宋体" w:cs="Arial" w:hAnsi="Calibri"/>
      <w:kern w:val="2"/>
      <w:sz w:val="21"/>
      <w:szCs w:val="22"/>
      <w:lang w:val="en-US" w:eastAsia="zh-CN" w:bidi="ar-SA"/>
    </w:rPr>
  </w:style>
  <w:style w:type="paragraph" w:customStyle="1" w:styleId="55">
    <w:name w:val="样式 28 10 磅"/>
    <w:pPr>
      <w:widowControl w:val="0"/>
      <w:jc w:val="both"/>
    </w:pPr>
    <w:rPr>
      <w:rFonts w:ascii="Calibri" w:eastAsia="宋体" w:cs="Arial" w:hAnsi="Calibri"/>
      <w:kern w:val="2"/>
      <w:sz w:val="21"/>
      <w:szCs w:val="22"/>
      <w:lang w:val="en-US" w:eastAsia="zh-CN" w:bidi="ar-SA"/>
    </w:rPr>
  </w:style>
  <w:style w:type="paragraph" w:customStyle="1" w:styleId="56">
    <w:name w:val="样式 29 10 磅"/>
    <w:pPr>
      <w:widowControl w:val="0"/>
      <w:jc w:val="both"/>
    </w:pPr>
    <w:rPr>
      <w:rFonts w:ascii="Calibri" w:eastAsia="宋体" w:cs="Arial" w:hAnsi="Calibri"/>
      <w:kern w:val="2"/>
      <w:sz w:val="21"/>
      <w:szCs w:val="22"/>
      <w:lang w:val="en-US" w:eastAsia="zh-CN" w:bidi="ar-SA"/>
    </w:rPr>
  </w:style>
  <w:style w:type="paragraph" w:customStyle="1" w:styleId="57">
    <w:name w:val="样式 30 10 磅"/>
    <w:pPr>
      <w:widowControl w:val="0"/>
      <w:jc w:val="both"/>
    </w:pPr>
    <w:rPr>
      <w:rFonts w:ascii="Calibri" w:eastAsia="宋体" w:cs="Arial" w:hAnsi="Calibri"/>
      <w:kern w:val="2"/>
      <w:sz w:val="21"/>
      <w:szCs w:val="22"/>
      <w:lang w:val="en-US" w:eastAsia="zh-CN" w:bidi="ar-SA"/>
    </w:rPr>
  </w:style>
  <w:style w:type="paragraph" w:customStyle="1" w:styleId="58">
    <w:name w:val="样式 31 10 磅"/>
    <w:pPr>
      <w:widowControl w:val="0"/>
      <w:jc w:val="both"/>
    </w:pPr>
    <w:rPr>
      <w:rFonts w:ascii="Times New Roman" w:eastAsia="宋体" w:cs="Times New Roman" w:hAnsi="Times New Roman"/>
      <w:kern w:val="2"/>
      <w:sz w:val="21"/>
      <w:szCs w:val="21"/>
      <w:lang w:val="en-US" w:eastAsia="zh-CN" w:bidi="ar-SA"/>
    </w:rPr>
  </w:style>
  <w:style w:type="paragraph" w:customStyle="1" w:styleId="59">
    <w:name w:val="样式 32 10 磅"/>
    <w:pPr>
      <w:widowControl w:val="0"/>
      <w:jc w:val="both"/>
    </w:pPr>
    <w:rPr>
      <w:rFonts w:ascii="Calibri" w:eastAsia="宋体" w:cs="Arial" w:hAnsi="Calibri"/>
      <w:kern w:val="2"/>
      <w:sz w:val="21"/>
      <w:szCs w:val="22"/>
      <w:lang w:val="en-US" w:eastAsia="zh-CN" w:bidi="ar-SA"/>
    </w:rPr>
  </w:style>
  <w:style w:type="paragraph" w:customStyle="1" w:styleId="60">
    <w:name w:val="样式 33 10 磅"/>
    <w:pPr>
      <w:widowControl w:val="0"/>
      <w:jc w:val="both"/>
    </w:pPr>
    <w:rPr>
      <w:rFonts w:ascii="Calibri" w:eastAsia="宋体" w:cs="Arial" w:hAnsi="Calibri"/>
      <w:kern w:val="2"/>
      <w:sz w:val="21"/>
      <w:szCs w:val="22"/>
      <w:lang w:val="en-US" w:eastAsia="zh-CN" w:bidi="ar-SA"/>
    </w:rPr>
  </w:style>
  <w:style w:type="paragraph" w:customStyle="1" w:styleId="61">
    <w:name w:val="样式 34 10 磅"/>
    <w:pPr>
      <w:widowControl w:val="0"/>
      <w:jc w:val="both"/>
    </w:pPr>
    <w:rPr>
      <w:rFonts w:ascii="Calibri" w:eastAsia="宋体" w:cs="Arial" w:hAnsi="Calibri"/>
      <w:kern w:val="2"/>
      <w:sz w:val="21"/>
      <w:szCs w:val="22"/>
      <w:lang w:val="en-US" w:eastAsia="zh-CN" w:bidi="ar-SA"/>
    </w:rPr>
  </w:style>
  <w:style w:type="paragraph" w:customStyle="1" w:styleId="62">
    <w:name w:val="样式 35 10 磅"/>
    <w:pPr>
      <w:widowControl w:val="0"/>
      <w:jc w:val="both"/>
    </w:pPr>
    <w:rPr>
      <w:rFonts w:ascii="Calibri" w:eastAsia="宋体" w:cs="Arial" w:hAnsi="Calibri"/>
      <w:kern w:val="2"/>
      <w:sz w:val="21"/>
      <w:szCs w:val="22"/>
      <w:lang w:val="en-US" w:eastAsia="zh-CN" w:bidi="ar-SA"/>
    </w:rPr>
  </w:style>
  <w:style w:type="paragraph" w:customStyle="1" w:styleId="63">
    <w:name w:val="样式 37 10 磅"/>
    <w:pPr>
      <w:widowControl w:val="0"/>
      <w:jc w:val="both"/>
    </w:pPr>
    <w:rPr>
      <w:rFonts w:ascii="Calibri" w:eastAsia="宋体" w:cs="Arial" w:hAnsi="Calibri"/>
      <w:kern w:val="2"/>
      <w:sz w:val="21"/>
      <w:szCs w:val="22"/>
      <w:lang w:val="en-US" w:eastAsia="zh-CN" w:bidi="ar-SA"/>
    </w:rPr>
  </w:style>
  <w:style w:type="paragraph" w:customStyle="1" w:styleId="64">
    <w:name w:val="样式 38 10 磅"/>
    <w:pPr>
      <w:widowControl w:val="0"/>
      <w:jc w:val="both"/>
    </w:pPr>
    <w:rPr>
      <w:rFonts w:ascii="Calibri" w:eastAsia="宋体" w:cs="Arial" w:hAnsi="Calibri"/>
      <w:kern w:val="2"/>
      <w:sz w:val="21"/>
      <w:szCs w:val="22"/>
      <w:lang w:val="en-US" w:eastAsia="zh-CN" w:bidi="ar-SA"/>
    </w:rPr>
  </w:style>
  <w:style w:type="paragraph" w:customStyle="1" w:styleId="65">
    <w:name w:val="样式 39 10 磅"/>
    <w:pPr>
      <w:widowControl w:val="0"/>
      <w:jc w:val="both"/>
    </w:pPr>
    <w:rPr>
      <w:rFonts w:ascii="Calibri" w:eastAsia="宋体" w:cs="Arial" w:hAnsi="Calibri"/>
      <w:kern w:val="2"/>
      <w:sz w:val="21"/>
      <w:szCs w:val="22"/>
      <w:lang w:val="en-US" w:eastAsia="zh-CN" w:bidi="ar-SA"/>
    </w:rPr>
  </w:style>
  <w:style w:type="paragraph" w:customStyle="1" w:styleId="66">
    <w:name w:val="样式 40 10 磅"/>
    <w:pPr>
      <w:widowControl w:val="0"/>
      <w:jc w:val="both"/>
    </w:pPr>
    <w:rPr>
      <w:rFonts w:ascii="Calibri" w:eastAsia="宋体" w:cs="Arial" w:hAnsi="Calibri"/>
      <w:kern w:val="2"/>
      <w:sz w:val="21"/>
      <w:szCs w:val="22"/>
      <w:lang w:val="en-US" w:eastAsia="zh-CN" w:bidi="ar-SA"/>
    </w:rPr>
  </w:style>
  <w:style w:type="paragraph" w:customStyle="1" w:styleId="67">
    <w:name w:val="样式 41 10 磅"/>
    <w:pPr>
      <w:widowControl w:val="0"/>
      <w:jc w:val="both"/>
    </w:pPr>
    <w:rPr>
      <w:rFonts w:ascii="Calibri" w:eastAsia="宋体" w:cs="Arial" w:hAnsi="Calibri"/>
      <w:kern w:val="2"/>
      <w:sz w:val="21"/>
      <w:szCs w:val="22"/>
      <w:lang w:val="en-US" w:eastAsia="zh-CN" w:bidi="ar-SA"/>
    </w:rPr>
  </w:style>
  <w:style w:type="paragraph" w:customStyle="1" w:styleId="68">
    <w:name w:val="样式 42 10 磅"/>
    <w:pPr>
      <w:widowControl w:val="0"/>
      <w:jc w:val="both"/>
    </w:pPr>
    <w:rPr>
      <w:rFonts w:ascii="Calibri" w:eastAsia="宋体" w:cs="Arial" w:hAnsi="Calibri"/>
      <w:kern w:val="2"/>
      <w:sz w:val="21"/>
      <w:szCs w:val="22"/>
      <w:lang w:val="en-US" w:eastAsia="zh-CN" w:bidi="ar-SA"/>
    </w:rPr>
  </w:style>
  <w:style w:type="paragraph" w:customStyle="1" w:styleId="69">
    <w:name w:val="样式 43 10 磅"/>
    <w:pPr>
      <w:widowControl w:val="0"/>
      <w:jc w:val="both"/>
    </w:pPr>
    <w:rPr>
      <w:rFonts w:ascii="Calibri" w:eastAsia="宋体" w:cs="Arial" w:hAnsi="Calibri"/>
      <w:kern w:val="2"/>
      <w:sz w:val="21"/>
      <w:szCs w:val="22"/>
      <w:lang w:val="en-US" w:eastAsia="zh-CN" w:bidi="ar-SA"/>
    </w:rPr>
  </w:style>
  <w:style w:type="paragraph" w:customStyle="1" w:styleId="70">
    <w:name w:val="样式 44 10 磅"/>
    <w:pPr>
      <w:widowControl w:val="0"/>
      <w:jc w:val="both"/>
    </w:pPr>
    <w:rPr>
      <w:rFonts w:ascii="Times New Roman" w:eastAsia="宋体" w:cs="Times New Roman" w:hAnsi="Times New Roman"/>
      <w:kern w:val="2"/>
      <w:sz w:val="21"/>
      <w:szCs w:val="21"/>
      <w:lang w:val="en-US" w:eastAsia="zh-CN" w:bidi="ar-SA"/>
    </w:rPr>
  </w:style>
  <w:style w:type="paragraph" w:customStyle="1" w:styleId="71">
    <w:name w:val="样式 45 10 磅"/>
    <w:pPr>
      <w:widowControl w:val="0"/>
      <w:jc w:val="both"/>
    </w:pPr>
    <w:rPr>
      <w:rFonts w:ascii="Calibri" w:eastAsia="宋体" w:cs="Arial" w:hAnsi="Calibri"/>
      <w:kern w:val="2"/>
      <w:sz w:val="21"/>
      <w:szCs w:val="22"/>
      <w:lang w:val="en-US" w:eastAsia="zh-CN" w:bidi="ar-SA"/>
    </w:rPr>
  </w:style>
  <w:style w:type="paragraph" w:customStyle="1" w:styleId="72">
    <w:name w:val="样式 46 10 磅"/>
    <w:pPr>
      <w:widowControl w:val="0"/>
      <w:jc w:val="both"/>
    </w:pPr>
    <w:rPr>
      <w:rFonts w:ascii="Calibri" w:eastAsia="宋体" w:cs="Arial" w:hAnsi="Calibri"/>
      <w:kern w:val="2"/>
      <w:sz w:val="21"/>
      <w:szCs w:val="22"/>
      <w:lang w:val="en-US" w:eastAsia="zh-CN" w:bidi="ar-SA"/>
    </w:rPr>
  </w:style>
  <w:style w:type="paragraph" w:customStyle="1" w:styleId="73">
    <w:name w:val="样式 47 10 磅"/>
    <w:pPr>
      <w:widowControl w:val="0"/>
      <w:jc w:val="both"/>
    </w:pPr>
    <w:rPr>
      <w:rFonts w:ascii="Calibri" w:eastAsia="宋体" w:cs="Arial" w:hAnsi="Calibri"/>
      <w:kern w:val="2"/>
      <w:sz w:val="21"/>
      <w:szCs w:val="22"/>
      <w:lang w:val="en-US" w:eastAsia="zh-CN" w:bidi="ar-SA"/>
    </w:rPr>
  </w:style>
  <w:style w:type="paragraph" w:customStyle="1" w:styleId="74">
    <w:name w:val="样式 48 10 磅"/>
    <w:pPr>
      <w:widowControl w:val="0"/>
      <w:jc w:val="both"/>
    </w:pPr>
    <w:rPr>
      <w:rFonts w:ascii="Calibri" w:eastAsia="宋体" w:cs="Arial" w:hAnsi="Calibri"/>
      <w:kern w:val="2"/>
      <w:sz w:val="21"/>
      <w:szCs w:val="22"/>
      <w:lang w:val="en-US" w:eastAsia="zh-CN" w:bidi="ar-SA"/>
    </w:rPr>
  </w:style>
  <w:style w:type="paragraph" w:customStyle="1" w:styleId="75">
    <w:name w:val="样式 50 10 磅"/>
    <w:pPr>
      <w:widowControl w:val="0"/>
      <w:jc w:val="both"/>
    </w:pPr>
    <w:rPr>
      <w:rFonts w:ascii="Calibri" w:eastAsia="宋体" w:cs="Arial" w:hAnsi="Calibri"/>
      <w:kern w:val="2"/>
      <w:sz w:val="21"/>
      <w:szCs w:val="22"/>
      <w:lang w:val="en-US" w:eastAsia="zh-CN" w:bidi="ar-SA"/>
    </w:rPr>
  </w:style>
  <w:style w:type="paragraph" w:customStyle="1" w:styleId="76">
    <w:name w:val="样式 52 10 磅"/>
    <w:pPr>
      <w:widowControl w:val="0"/>
      <w:jc w:val="both"/>
    </w:pPr>
    <w:rPr>
      <w:rFonts w:ascii="Calibri" w:eastAsia="宋体" w:cs="Arial" w:hAnsi="Calibri"/>
      <w:kern w:val="2"/>
      <w:sz w:val="21"/>
      <w:szCs w:val="22"/>
      <w:lang w:val="en-US" w:eastAsia="zh-CN" w:bidi="ar-SA"/>
    </w:rPr>
  </w:style>
  <w:style w:type="paragraph" w:customStyle="1" w:styleId="77">
    <w:name w:val="样式 53 10 磅"/>
    <w:pPr>
      <w:widowControl w:val="0"/>
      <w:jc w:val="both"/>
    </w:pPr>
    <w:rPr>
      <w:rFonts w:ascii="Calibri" w:eastAsia="宋体" w:cs="Arial" w:hAnsi="Calibri"/>
      <w:kern w:val="2"/>
      <w:sz w:val="21"/>
      <w:szCs w:val="22"/>
      <w:lang w:val="en-US" w:eastAsia="zh-CN" w:bidi="ar-SA"/>
    </w:rPr>
  </w:style>
  <w:style w:type="paragraph" w:customStyle="1" w:styleId="78">
    <w:name w:val="样式 54 10 磅"/>
    <w:pPr>
      <w:widowControl w:val="0"/>
      <w:jc w:val="both"/>
    </w:pPr>
    <w:rPr>
      <w:rFonts w:ascii="Calibri" w:eastAsia="宋体" w:cs="Arial" w:hAnsi="Calibri"/>
      <w:kern w:val="2"/>
      <w:sz w:val="21"/>
      <w:szCs w:val="22"/>
      <w:lang w:val="en-US" w:eastAsia="zh-CN" w:bidi="ar-SA"/>
    </w:rPr>
  </w:style>
  <w:style w:type="paragraph" w:customStyle="1" w:styleId="79">
    <w:name w:val="样式 55 10 磅"/>
    <w:pPr>
      <w:widowControl w:val="0"/>
      <w:jc w:val="both"/>
    </w:pPr>
    <w:rPr>
      <w:rFonts w:ascii="Calibri" w:eastAsia="宋体" w:cs="Arial" w:hAnsi="Calibri"/>
      <w:kern w:val="2"/>
      <w:sz w:val="21"/>
      <w:szCs w:val="22"/>
      <w:lang w:val="en-US" w:eastAsia="zh-CN" w:bidi="ar-SA"/>
    </w:rPr>
  </w:style>
  <w:style w:type="paragraph" w:customStyle="1" w:styleId="80">
    <w:name w:val="样式 56 10 磅"/>
    <w:pPr>
      <w:widowControl w:val="0"/>
      <w:jc w:val="both"/>
    </w:pPr>
    <w:rPr>
      <w:rFonts w:ascii="Calibri" w:eastAsia="宋体" w:cs="Arial" w:hAnsi="Calibri"/>
      <w:kern w:val="2"/>
      <w:sz w:val="21"/>
      <w:szCs w:val="22"/>
      <w:lang w:val="en-US" w:eastAsia="zh-CN" w:bidi="ar-SA"/>
    </w:rPr>
  </w:style>
  <w:style w:type="paragraph" w:customStyle="1" w:styleId="81">
    <w:name w:val="样式 57 10 磅"/>
    <w:pPr>
      <w:widowControl w:val="0"/>
      <w:jc w:val="both"/>
    </w:pPr>
    <w:rPr>
      <w:rFonts w:ascii="Calibri" w:eastAsia="宋体" w:cs="Arial" w:hAnsi="Calibri"/>
      <w:kern w:val="2"/>
      <w:sz w:val="21"/>
      <w:szCs w:val="22"/>
      <w:lang w:val="en-US" w:eastAsia="zh-CN" w:bidi="ar-SA"/>
    </w:rPr>
  </w:style>
  <w:style w:type="paragraph" w:customStyle="1" w:styleId="82">
    <w:name w:val="样式 58 10 磅"/>
    <w:pPr>
      <w:widowControl w:val="0"/>
      <w:jc w:val="both"/>
    </w:pPr>
    <w:rPr>
      <w:rFonts w:ascii="Calibri" w:eastAsia="宋体" w:cs="Arial" w:hAnsi="Calibri"/>
      <w:kern w:val="2"/>
      <w:sz w:val="21"/>
      <w:szCs w:val="22"/>
      <w:lang w:val="en-US" w:eastAsia="zh-CN" w:bidi="ar-SA"/>
    </w:rPr>
  </w:style>
  <w:style w:type="paragraph" w:customStyle="1" w:styleId="83">
    <w:name w:val="样式 59 10 磅"/>
    <w:pPr>
      <w:widowControl w:val="0"/>
      <w:jc w:val="both"/>
    </w:pPr>
    <w:rPr>
      <w:rFonts w:ascii="Calibri" w:eastAsia="宋体" w:cs="Arial" w:hAnsi="Calibri"/>
      <w:kern w:val="2"/>
      <w:sz w:val="21"/>
      <w:szCs w:val="22"/>
      <w:lang w:val="en-US" w:eastAsia="zh-CN" w:bidi="ar-SA"/>
    </w:rPr>
  </w:style>
  <w:style w:type="paragraph" w:customStyle="1" w:styleId="84">
    <w:name w:val="样式 60 10 磅"/>
    <w:pPr>
      <w:widowControl w:val="0"/>
      <w:jc w:val="both"/>
    </w:pPr>
    <w:rPr>
      <w:rFonts w:ascii="Calibri" w:eastAsia="宋体" w:cs="Arial" w:hAnsi="Calibri"/>
      <w:kern w:val="2"/>
      <w:sz w:val="21"/>
      <w:szCs w:val="22"/>
      <w:lang w:val="en-US" w:eastAsia="zh-CN" w:bidi="ar-SA"/>
    </w:rPr>
  </w:style>
  <w:style w:type="paragraph" w:customStyle="1" w:styleId="85">
    <w:name w:val="样式 61 10 磅"/>
    <w:pPr>
      <w:widowControl w:val="0"/>
      <w:jc w:val="both"/>
    </w:pPr>
    <w:rPr>
      <w:rFonts w:ascii="Calibri" w:eastAsia="宋体" w:cs="Arial" w:hAnsi="Calibri"/>
      <w:kern w:val="2"/>
      <w:sz w:val="21"/>
      <w:szCs w:val="22"/>
      <w:lang w:val="en-US" w:eastAsia="zh-CN" w:bidi="ar-SA"/>
    </w:rPr>
  </w:style>
  <w:style w:type="paragraph" w:customStyle="1" w:styleId="86">
    <w:name w:val="样式 62 10 磅"/>
    <w:pPr>
      <w:widowControl w:val="0"/>
      <w:jc w:val="both"/>
    </w:pPr>
    <w:rPr>
      <w:rFonts w:ascii="Calibri" w:eastAsia="宋体" w:cs="Arial" w:hAnsi="Calibri"/>
      <w:kern w:val="2"/>
      <w:sz w:val="21"/>
      <w:szCs w:val="22"/>
      <w:lang w:val="en-US" w:eastAsia="zh-CN" w:bidi="ar-SA"/>
    </w:rPr>
  </w:style>
  <w:style w:type="paragraph" w:customStyle="1" w:styleId="87">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
    <w:name w:val="样式 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
    <w:name w:val="样式 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
    <w:name w:val="样式 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
    <w:name w:val="样式 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
    <w:name w:val="样式 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
    <w:name w:val="样式 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
    <w:name w:val="样式 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
    <w:name w:val="样式 76 10 磅"/>
    <w:pPr>
      <w:widowControl w:val="0"/>
      <w:jc w:val="both"/>
    </w:pPr>
    <w:rPr>
      <w:rFonts w:ascii="Calibri" w:eastAsia="宋体" w:cs="Arial" w:hAnsi="Calibri"/>
      <w:kern w:val="2"/>
      <w:sz w:val="21"/>
      <w:szCs w:val="22"/>
      <w:lang w:val="en-US" w:eastAsia="zh-CN" w:bidi="ar-SA"/>
    </w:rPr>
  </w:style>
  <w:style w:type="paragraph" w:customStyle="1" w:styleId="102">
    <w:name w:val="样式 77 10 磅"/>
    <w:pPr>
      <w:widowControl w:val="0"/>
      <w:jc w:val="both"/>
    </w:pPr>
    <w:rPr>
      <w:rFonts w:ascii="Calibri" w:eastAsia="宋体" w:cs="Arial" w:hAnsi="Calibri"/>
      <w:kern w:val="2"/>
      <w:sz w:val="21"/>
      <w:szCs w:val="22"/>
      <w:lang w:val="en-US" w:eastAsia="zh-CN" w:bidi="ar-SA"/>
    </w:rPr>
  </w:style>
  <w:style w:type="paragraph" w:customStyle="1" w:styleId="103">
    <w:name w:val="样式 78 10 磅"/>
    <w:pPr>
      <w:widowControl w:val="0"/>
      <w:jc w:val="both"/>
    </w:pPr>
    <w:rPr>
      <w:rFonts w:ascii="Calibri" w:eastAsia="宋体" w:cs="Arial" w:hAnsi="Calibri"/>
      <w:kern w:val="2"/>
      <w:sz w:val="21"/>
      <w:szCs w:val="22"/>
      <w:lang w:val="en-US" w:eastAsia="zh-CN" w:bidi="ar-SA"/>
    </w:rPr>
  </w:style>
  <w:style w:type="paragraph" w:customStyle="1" w:styleId="104">
    <w:name w:val="样式 79 10 磅"/>
    <w:pPr>
      <w:widowControl w:val="0"/>
      <w:jc w:val="both"/>
    </w:pPr>
    <w:rPr>
      <w:rFonts w:ascii="Calibri" w:eastAsia="宋体" w:cs="Arial" w:hAnsi="Calibri"/>
      <w:kern w:val="2"/>
      <w:sz w:val="21"/>
      <w:szCs w:val="22"/>
      <w:lang w:val="en-US" w:eastAsia="zh-CN" w:bidi="ar-SA"/>
    </w:rPr>
  </w:style>
  <w:style w:type="paragraph" w:customStyle="1" w:styleId="105">
    <w:name w:val="样式 80 10 磅"/>
    <w:pPr>
      <w:widowControl w:val="0"/>
      <w:jc w:val="both"/>
    </w:pPr>
    <w:rPr>
      <w:rFonts w:ascii="Calibri" w:eastAsia="宋体" w:cs="Arial" w:hAnsi="Calibri"/>
      <w:kern w:val="2"/>
      <w:sz w:val="21"/>
      <w:szCs w:val="22"/>
      <w:lang w:val="en-US" w:eastAsia="zh-CN" w:bidi="ar-SA"/>
    </w:rPr>
  </w:style>
  <w:style w:type="paragraph" w:customStyle="1" w:styleId="106">
    <w:name w:val="样式 81 10 磅"/>
    <w:pPr>
      <w:widowControl w:val="0"/>
      <w:jc w:val="both"/>
    </w:pPr>
    <w:rPr>
      <w:rFonts w:ascii="Calibri" w:eastAsia="宋体" w:cs="Arial" w:hAnsi="Calibri"/>
      <w:kern w:val="2"/>
      <w:sz w:val="21"/>
      <w:szCs w:val="22"/>
      <w:lang w:val="en-US" w:eastAsia="zh-CN" w:bidi="ar-SA"/>
    </w:rPr>
  </w:style>
  <w:style w:type="paragraph" w:customStyle="1" w:styleId="107">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4 10 磅"/>
    <w:pPr>
      <w:widowControl w:val="0"/>
      <w:jc w:val="both"/>
    </w:pPr>
    <w:rPr>
      <w:rFonts w:ascii="Calibri" w:eastAsia="宋体" w:cs="Arial" w:hAnsi="Calibri"/>
      <w:kern w:val="2"/>
      <w:sz w:val="21"/>
      <w:szCs w:val="22"/>
      <w:lang w:val="en-US" w:eastAsia="zh-CN" w:bidi="ar-SA"/>
    </w:rPr>
  </w:style>
  <w:style w:type="paragraph" w:customStyle="1" w:styleId="110">
    <w:name w:val="样式 85 10 磅"/>
    <w:pPr>
      <w:widowControl w:val="0"/>
      <w:jc w:val="both"/>
    </w:pPr>
    <w:rPr>
      <w:rFonts w:ascii="Calibri" w:eastAsia="宋体" w:cs="Arial" w:hAnsi="Calibri"/>
      <w:kern w:val="2"/>
      <w:sz w:val="21"/>
      <w:szCs w:val="22"/>
      <w:lang w:val="en-US" w:eastAsia="zh-CN" w:bidi="ar-SA"/>
    </w:rPr>
  </w:style>
  <w:style w:type="paragraph" w:customStyle="1" w:styleId="111">
    <w:name w:val="样式 86 10 磅"/>
    <w:pPr>
      <w:widowControl w:val="0"/>
      <w:jc w:val="both"/>
    </w:pPr>
    <w:rPr>
      <w:rFonts w:ascii="Calibri" w:eastAsia="宋体" w:cs="Arial" w:hAnsi="Calibri"/>
      <w:kern w:val="2"/>
      <w:sz w:val="21"/>
      <w:szCs w:val="22"/>
      <w:lang w:val="en-US" w:eastAsia="zh-CN" w:bidi="ar-SA"/>
    </w:rPr>
  </w:style>
  <w:style w:type="paragraph" w:customStyle="1" w:styleId="112">
    <w:name w:val="样式 87 10 磅"/>
    <w:pPr>
      <w:widowControl w:val="0"/>
      <w:jc w:val="both"/>
    </w:pPr>
    <w:rPr>
      <w:rFonts w:ascii="Calibri" w:eastAsia="宋体" w:cs="Arial" w:hAnsi="Calibri"/>
      <w:kern w:val="2"/>
      <w:sz w:val="21"/>
      <w:szCs w:val="22"/>
      <w:lang w:val="en-US" w:eastAsia="zh-CN" w:bidi="ar-SA"/>
    </w:rPr>
  </w:style>
  <w:style w:type="paragraph" w:customStyle="1" w:styleId="113">
    <w:name w:val="样式 88 10 磅"/>
    <w:pPr>
      <w:widowControl w:val="0"/>
      <w:jc w:val="both"/>
    </w:pPr>
    <w:rPr>
      <w:rFonts w:ascii="Calibri" w:eastAsia="宋体" w:cs="Arial" w:hAnsi="Calibri"/>
      <w:kern w:val="2"/>
      <w:sz w:val="21"/>
      <w:szCs w:val="22"/>
      <w:lang w:val="en-US" w:eastAsia="zh-CN" w:bidi="ar-SA"/>
    </w:rPr>
  </w:style>
  <w:style w:type="paragraph" w:customStyle="1" w:styleId="114">
    <w:name w:val="样式 89 10 磅"/>
    <w:pPr>
      <w:widowControl w:val="0"/>
      <w:jc w:val="both"/>
    </w:pPr>
    <w:rPr>
      <w:rFonts w:ascii="Calibri" w:eastAsia="宋体" w:cs="Arial" w:hAnsi="Calibri"/>
      <w:kern w:val="2"/>
      <w:sz w:val="21"/>
      <w:szCs w:val="22"/>
      <w:lang w:val="en-US" w:eastAsia="zh-CN" w:bidi="ar-SA"/>
    </w:rPr>
  </w:style>
  <w:style w:type="paragraph" w:customStyle="1" w:styleId="115">
    <w:name w:val="样式 90 10 磅"/>
    <w:pPr>
      <w:widowControl w:val="0"/>
      <w:jc w:val="both"/>
    </w:pPr>
    <w:rPr>
      <w:rFonts w:ascii="Calibri" w:eastAsia="宋体" w:cs="Arial" w:hAnsi="Calibri"/>
      <w:kern w:val="2"/>
      <w:sz w:val="21"/>
      <w:szCs w:val="22"/>
      <w:lang w:val="en-US" w:eastAsia="zh-CN" w:bidi="ar-SA"/>
    </w:rPr>
  </w:style>
  <w:style w:type="paragraph" w:customStyle="1" w:styleId="116">
    <w:name w:val="样式 91 10 磅"/>
    <w:pPr>
      <w:widowControl w:val="0"/>
      <w:jc w:val="both"/>
    </w:pPr>
    <w:rPr>
      <w:rFonts w:ascii="Calibri" w:eastAsia="宋体" w:cs="Arial" w:hAnsi="Calibri"/>
      <w:kern w:val="2"/>
      <w:sz w:val="21"/>
      <w:szCs w:val="22"/>
      <w:lang w:val="en-US" w:eastAsia="zh-CN" w:bidi="ar-SA"/>
    </w:rPr>
  </w:style>
  <w:style w:type="paragraph" w:customStyle="1" w:styleId="117">
    <w:name w:val="样式 92 10 磅"/>
    <w:pPr>
      <w:widowControl w:val="0"/>
      <w:jc w:val="both"/>
    </w:pPr>
    <w:rPr>
      <w:rFonts w:ascii="Calibri" w:eastAsia="宋体" w:cs="Arial" w:hAnsi="Calibri"/>
      <w:kern w:val="2"/>
      <w:sz w:val="21"/>
      <w:szCs w:val="22"/>
      <w:lang w:val="en-US" w:eastAsia="zh-CN" w:bidi="ar-SA"/>
    </w:rPr>
  </w:style>
  <w:style w:type="paragraph" w:customStyle="1" w:styleId="118">
    <w:name w:val="样式 93 10 磅"/>
    <w:pPr>
      <w:widowControl w:val="0"/>
      <w:jc w:val="both"/>
    </w:pPr>
    <w:rPr>
      <w:rFonts w:ascii="Calibri" w:eastAsia="宋体" w:cs="Arial" w:hAnsi="Calibri"/>
      <w:kern w:val="2"/>
      <w:sz w:val="21"/>
      <w:szCs w:val="22"/>
      <w:lang w:val="en-US" w:eastAsia="zh-CN" w:bidi="ar-SA"/>
    </w:rPr>
  </w:style>
  <w:style w:type="paragraph" w:customStyle="1" w:styleId="233">
    <w:name w:val="样式 94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image" Target="media/8.png"/><Relationship Id="rId5" Type="http://schemas.openxmlformats.org/officeDocument/2006/relationships/image" Target="media/11.png"/><Relationship Id="rId6" Type="http://schemas.openxmlformats.org/officeDocument/2006/relationships/image" Target="media/14.png"/><Relationship Id="rId7" Type="http://schemas.openxmlformats.org/officeDocument/2006/relationships/image" Target="media/17.png"/><Relationship Id="rId8" Type="http://schemas.openxmlformats.org/officeDocument/2006/relationships/styles" Target="styles.xml"/><Relationship Id="rId9" Type="http://schemas.openxmlformats.org/officeDocument/2006/relationships/fontTable" Target="fontTable.xml"/><Relationship Id="rId10"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customProps>
</customData>
</file>

<file path=customXml/itemProps1.xml><?xml version="1.0" encoding="utf-8"?>
<ds:datastoreItem xmlns:ds="http://schemas.openxmlformats.org/officeDocument/2006/customXml" ds:itemID="{41A8B781-DB9F-41D8-A36F-9186352D66C1}">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1526</TotalTime>
  <Application>Yozo_Office27021597764231179</Application>
  <Pages>45</Pages>
  <Words>0</Words>
  <Characters>10203</Characters>
  <Lines>0</Lines>
  <Paragraphs>246</Paragraphs>
  <CharactersWithSpaces>13604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fzhg</cp:lastModifiedBy>
  <cp:revision>67</cp:revision>
  <dcterms:created xsi:type="dcterms:W3CDTF">2023-03-22T01:35:00Z</dcterms:created>
  <dcterms:modified xsi:type="dcterms:W3CDTF">2026-04-15T06:00:53Z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549C4AFD17B24936AA0EF0C3A256E8AB</vt:lpwstr>
  </property>
</Properties>
</file>