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"/>
        <w:keepNext/>
        <w:keepLines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360" w:lineRule="auto"/>
        <w:jc w:val="center"/>
        <w:textAlignment w:val="auto"/>
        <w:rPr>
          <w:rFonts w:ascii="方正小标宋_GBK" w:eastAsia="方正小标宋_GBK" w:cs="华文中宋" w:hint="eastAsia"/>
          <w:color w:val="auto"/>
          <w:lang w:val="en-US" w:eastAsia="zh-CN"/>
        </w:rPr>
      </w:pPr>
      <w:bookmarkStart w:id="0" w:name="_Toc35393809"/>
      <w:bookmarkStart w:id="1" w:name="_Toc28359022"/>
      <w:bookmarkStart w:id="2" w:name="_GoBack"/>
      <w:bookmarkEnd w:id="2"/>
      <w:r>
        <w:rPr>
          <w:rFonts w:ascii="方正小标宋_GBK" w:eastAsia="方正小标宋_GBK" w:cs="华文中宋" w:hint="eastAsia"/>
          <w:color w:val="auto"/>
          <w:lang w:val="en-US" w:eastAsia="zh-CN"/>
        </w:rPr>
        <w:t>玉林海关关于一区大院道路安全改造项目（项目编号：CJKG</w:t>
      </w:r>
      <w:r>
        <w:rPr>
          <w:rFonts w:eastAsia="方正小标宋_GBK"/>
          <w:color w:val="auto"/>
          <w:lang w:val="en-US" w:eastAsia="zh-CN"/>
        </w:rPr>
        <w:t>2025470</w:t>
      </w:r>
      <w:r>
        <w:rPr>
          <w:rFonts w:ascii="方正小标宋_GBK" w:eastAsia="方正小标宋_GBK" w:cs="华文中宋" w:hint="eastAsia"/>
          <w:color w:val="auto"/>
          <w:lang w:val="en-US" w:eastAsia="zh-CN"/>
        </w:rPr>
        <w:t>F）</w:t>
      </w:r>
    </w:p>
    <w:p>
      <w:pPr>
        <w:pStyle w:val="1"/>
        <w:keepNext/>
        <w:keepLines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360" w:lineRule="auto"/>
        <w:jc w:val="center"/>
        <w:textAlignment w:val="auto"/>
        <w:rPr>
          <w:rFonts w:ascii="方正小标宋_GBK" w:eastAsia="方正小标宋_GBK" w:cs="华文中宋" w:hint="eastAsia"/>
          <w:color w:val="auto"/>
        </w:rPr>
      </w:pPr>
      <w:r>
        <w:rPr>
          <w:rFonts w:ascii="方正小标宋_GBK" w:eastAsia="方正小标宋_GBK" w:cs="华文中宋" w:hint="eastAsia"/>
          <w:color w:val="auto"/>
        </w:rPr>
        <w:t>成交结果公告</w:t>
      </w:r>
      <w:bookmarkEnd w:id="0"/>
      <w:bookmarkEnd w:id="1"/>
    </w:p>
    <w:p>
      <w:pPr>
        <w:keepNext w:val="0"/>
        <w:keepLines w:val="0"/>
        <w:pageBreakBefore w:val="0"/>
        <w:widowControl w:val="0"/>
        <w:suppressLineNumbers w:val="0"/>
        <w:suppressAutoHyphens w:val="0"/>
        <w:bidi w:val="0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仿宋" w:eastAsia="仿宋" w:hint="eastAsia"/>
          <w:color w:val="auto"/>
          <w:kern w:val="0"/>
          <w:sz w:val="32"/>
          <w:szCs w:val="32"/>
          <w:lang w:val="en-US" w:eastAsia="zh-CN"/>
        </w:rPr>
      </w:pPr>
      <w:r>
        <w:rPr>
          <w:rFonts w:ascii="方正黑体_GBK" w:eastAsia="方正黑体_GBK" w:cs="黑体" w:hint="eastAsia"/>
          <w:bCs/>
          <w:kern w:val="0"/>
          <w:sz w:val="32"/>
          <w:szCs w:val="32"/>
        </w:rPr>
        <w:t>一、项目编号：</w:t>
      </w:r>
      <w:r>
        <w:rPr>
          <w:rFonts w:ascii="仿宋" w:eastAsia="仿宋" w:hint="eastAsia"/>
          <w:color w:val="auto"/>
          <w:kern w:val="0"/>
          <w:sz w:val="32"/>
          <w:szCs w:val="32"/>
          <w:lang w:val="en-US" w:eastAsia="zh-CN"/>
        </w:rPr>
        <w:t>CJKG</w:t>
      </w:r>
      <w:r>
        <w:rPr>
          <w:rFonts w:eastAsia="仿宋"/>
          <w:color w:val="auto"/>
          <w:kern w:val="0"/>
          <w:sz w:val="32"/>
          <w:szCs w:val="32"/>
          <w:lang w:val="en-US" w:eastAsia="zh-CN"/>
        </w:rPr>
        <w:t>2025470</w:t>
      </w:r>
      <w:r>
        <w:rPr>
          <w:rFonts w:ascii="仿宋" w:eastAsia="仿宋" w:hint="eastAsia"/>
          <w:color w:val="auto"/>
          <w:kern w:val="0"/>
          <w:sz w:val="32"/>
          <w:szCs w:val="32"/>
          <w:lang w:val="en-US" w:eastAsia="zh-CN"/>
        </w:rPr>
        <w:t>F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仿宋" w:eastAsia="仿宋" w:hint="eastAsia"/>
          <w:color w:val="auto"/>
          <w:kern w:val="0"/>
          <w:sz w:val="32"/>
          <w:szCs w:val="32"/>
          <w:lang w:val="en-US" w:eastAsia="zh-CN"/>
        </w:rPr>
      </w:pPr>
      <w:r>
        <w:rPr>
          <w:rFonts w:ascii="方正黑体_GBK" w:eastAsia="方正黑体_GBK" w:cs="黑体" w:hint="eastAsia"/>
          <w:bCs/>
          <w:kern w:val="0"/>
          <w:sz w:val="32"/>
          <w:szCs w:val="32"/>
        </w:rPr>
        <w:t>二、项目名称：</w:t>
      </w:r>
      <w:r>
        <w:rPr>
          <w:rFonts w:ascii="方正仿宋_GBK" w:eastAsia="方正仿宋_GBK" w:hint="eastAsia"/>
          <w:color w:val="auto"/>
          <w:kern w:val="0"/>
          <w:sz w:val="32"/>
          <w:szCs w:val="32"/>
          <w:lang w:val="en-US" w:eastAsia="zh-CN"/>
        </w:rPr>
        <w:t>玉林海关一区大院道路安全改造项目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460" w:lineRule="exact"/>
        <w:rPr>
          <w:rFonts w:ascii="方正黑体_GBK" w:eastAsia="方正黑体_GBK" w:cs="黑体" w:hint="eastAsia"/>
          <w:bCs/>
          <w:kern w:val="0"/>
          <w:sz w:val="32"/>
          <w:szCs w:val="32"/>
        </w:rPr>
      </w:pPr>
      <w:r>
        <w:rPr>
          <w:rFonts w:ascii="方正黑体_GBK" w:eastAsia="方正黑体_GBK" w:cs="黑体" w:hint="eastAsia"/>
          <w:bCs/>
          <w:kern w:val="0"/>
          <w:sz w:val="32"/>
          <w:szCs w:val="32"/>
        </w:rPr>
        <w:t>三、中标（成交）信息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640"/>
        <w:textAlignment w:val="auto"/>
        <w:rPr>
          <w:rFonts w:ascii="方正仿宋_GBK" w:eastAsia="方正仿宋_GBK" w:hint="eastAsia"/>
          <w:color w:val="auto"/>
          <w:sz w:val="32"/>
          <w:szCs w:val="32"/>
        </w:rPr>
      </w:pPr>
      <w:r>
        <w:rPr>
          <w:rFonts w:ascii="方正仿宋_GBK" w:eastAsia="方正仿宋_GBK" w:cs="仿宋" w:hint="eastAsia"/>
          <w:color w:val="auto"/>
          <w:sz w:val="32"/>
          <w:szCs w:val="32"/>
        </w:rPr>
        <w:t>供应商名称：</w:t>
      </w:r>
      <w:r>
        <w:rPr>
          <w:rFonts w:ascii="方正仿宋_GBK" w:eastAsia="方正仿宋_GBK" w:cs="仿宋" w:hint="eastAsia"/>
          <w:color w:val="auto"/>
          <w:sz w:val="32"/>
          <w:szCs w:val="32"/>
          <w:u w:val="single"/>
        </w:rPr>
        <w:t>广西祥昇建设工程有限公司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640"/>
        <w:textAlignment w:val="auto"/>
        <w:rPr>
          <w:rFonts w:ascii="方正仿宋_GBK" w:eastAsia="方正仿宋_GBK" w:cs="仿宋" w:hint="eastAsia"/>
          <w:color w:val="auto"/>
          <w:sz w:val="32"/>
          <w:szCs w:val="32"/>
        </w:rPr>
      </w:pPr>
      <w:r>
        <w:rPr>
          <w:rFonts w:ascii="方正仿宋_GBK" w:eastAsia="方正仿宋_GBK" w:cs="仿宋" w:hint="eastAsia"/>
          <w:color w:val="auto"/>
          <w:sz w:val="32"/>
          <w:szCs w:val="32"/>
        </w:rPr>
        <w:t>供应商地址：</w:t>
      </w:r>
      <w:r>
        <w:rPr>
          <w:rFonts w:ascii="方正仿宋_GBK" w:eastAsia="方正仿宋_GBK" w:cs="仿宋" w:hint="eastAsia"/>
          <w:color w:val="auto"/>
          <w:sz w:val="32"/>
          <w:szCs w:val="32"/>
          <w:u w:val="single"/>
        </w:rPr>
        <w:t>广西壮族自治区玉林北流市南园二路</w:t>
      </w:r>
      <w:r>
        <w:rPr>
          <w:rFonts w:eastAsia="方正仿宋_GBK"/>
          <w:color w:val="auto"/>
          <w:sz w:val="32"/>
          <w:szCs w:val="32"/>
          <w:u w:val="single"/>
        </w:rPr>
        <w:t>0075</w:t>
      </w:r>
      <w:r>
        <w:rPr>
          <w:rFonts w:ascii="方正仿宋_GBK" w:eastAsia="方正仿宋_GBK" w:cs="仿宋" w:hint="eastAsia"/>
          <w:color w:val="auto"/>
          <w:sz w:val="32"/>
          <w:szCs w:val="32"/>
          <w:u w:val="single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640"/>
        <w:textAlignment w:val="auto"/>
        <w:rPr>
          <w:rFonts w:ascii="仿宋" w:eastAsia="仿宋" w:cs="仿宋" w:hint="eastAsia"/>
          <w:color w:val="auto"/>
          <w:sz w:val="32"/>
          <w:szCs w:val="32"/>
          <w:u w:val="none"/>
          <w:lang w:val="en-US" w:eastAsia="zh-CN"/>
        </w:rPr>
      </w:pPr>
      <w:r>
        <w:rPr>
          <w:rFonts w:ascii="方正仿宋_GBK" w:eastAsia="方正仿宋_GBK" w:cs="仿宋" w:hint="eastAsia"/>
          <w:color w:val="auto"/>
          <w:sz w:val="32"/>
          <w:szCs w:val="32"/>
        </w:rPr>
        <w:t>中标（成交）金额：</w:t>
      </w:r>
      <w:r>
        <w:rPr>
          <w:rFonts w:ascii="方正仿宋_GBK" w:eastAsia="方正仿宋_GBK" w:cs="仿宋" w:hint="eastAsia"/>
          <w:color w:val="auto"/>
          <w:sz w:val="32"/>
          <w:szCs w:val="32"/>
          <w:u w:val="single"/>
          <w:lang w:val="en-US" w:eastAsia="zh-CN"/>
        </w:rPr>
        <w:t>人民币贰拾捌万玖仟捌佰贰拾柒元玖角肆分</w:t>
      </w:r>
      <w:r>
        <w:rPr>
          <w:rFonts w:ascii="仿宋" w:eastAsia="仿宋" w:cs="仿宋" w:hint="eastAsia"/>
          <w:color w:val="auto"/>
          <w:sz w:val="32"/>
          <w:szCs w:val="32"/>
          <w:u w:val="single"/>
          <w:lang w:val="en-US" w:eastAsia="zh-CN"/>
        </w:rPr>
        <w:t>（¥</w:t>
      </w:r>
      <w:r>
        <w:rPr>
          <w:rFonts w:eastAsia="仿宋"/>
          <w:color w:val="auto"/>
          <w:sz w:val="32"/>
          <w:szCs w:val="32"/>
          <w:u w:val="single"/>
          <w:lang w:val="en-US" w:eastAsia="zh-CN"/>
        </w:rPr>
        <w:t>289827.94</w:t>
      </w:r>
      <w:r>
        <w:rPr>
          <w:rFonts w:ascii="仿宋" w:eastAsia="仿宋" w:cs="仿宋" w:hint="eastAsia"/>
          <w:color w:val="auto"/>
          <w:sz w:val="32"/>
          <w:szCs w:val="32"/>
          <w:u w:val="single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方正黑体_GBK" w:eastAsia="方正黑体_GBK" w:cs="黑体" w:hint="eastAsia"/>
          <w:bCs/>
          <w:kern w:val="0"/>
          <w:sz w:val="32"/>
          <w:szCs w:val="32"/>
        </w:rPr>
      </w:pPr>
      <w:r>
        <w:rPr>
          <w:rFonts w:ascii="方正黑体_GBK" w:eastAsia="方正黑体_GBK" w:cs="黑体" w:hint="eastAsia"/>
          <w:bCs/>
          <w:kern w:val="0"/>
          <w:sz w:val="32"/>
          <w:szCs w:val="32"/>
        </w:rPr>
        <w:t>四、主要标的信息</w:t>
      </w:r>
    </w:p>
    <w:tbl>
      <w:tblPr>
        <w:jc w:val="left"/>
        <w:tblInd w:w="-106" w:type="dxa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9"/>
      </w:tblGrid>
      <w:tr>
        <w:tc>
          <w:tcPr>
            <w:tcW w:w="9639" w:type="dxa"/>
          </w:tcPr>
          <w:p>
            <w:pPr>
              <w:jc w:val="center"/>
              <w:rPr>
                <w:rFonts w:ascii="方正仿宋_GBK" w:eastAsia="方正仿宋_GBK" w:hint="eastAsia"/>
                <w:color w:val="auto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cs="仿宋" w:hint="eastAsia"/>
                <w:color w:val="auto"/>
                <w:kern w:val="0"/>
                <w:sz w:val="32"/>
                <w:szCs w:val="32"/>
              </w:rPr>
              <w:t>工程类</w:t>
            </w:r>
          </w:p>
        </w:tc>
      </w:tr>
      <w:tr>
        <w:tc>
          <w:tcPr>
            <w:tcW w:w="963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方正仿宋_GBK" w:eastAsia="方正仿宋_GBK" w:hint="eastAsia"/>
                <w:color w:val="auto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cs="仿宋" w:hint="eastAsia"/>
                <w:color w:val="auto"/>
                <w:kern w:val="0"/>
                <w:sz w:val="32"/>
                <w:szCs w:val="32"/>
              </w:rPr>
              <w:t>名称：</w:t>
            </w:r>
            <w:r>
              <w:rPr>
                <w:rFonts w:ascii="方正仿宋_GBK" w:eastAsia="方正仿宋_GBK" w:hint="eastAsia"/>
                <w:color w:val="auto"/>
                <w:kern w:val="0"/>
                <w:sz w:val="32"/>
                <w:szCs w:val="32"/>
                <w:lang w:val="en-US" w:eastAsia="zh-CN"/>
              </w:rPr>
              <w:t>玉林海关一区大院道路安全改造项目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方正仿宋_GBK" w:eastAsia="方正仿宋_GBK" w:hint="eastAsia"/>
                <w:color w:val="auto"/>
                <w:kern w:val="0"/>
                <w:sz w:val="32"/>
                <w:szCs w:val="32"/>
                <w:lang w:val="en-US"/>
              </w:rPr>
            </w:pPr>
            <w:r>
              <w:rPr>
                <w:rFonts w:ascii="方正仿宋_GBK" w:eastAsia="方正仿宋_GBK" w:cs="仿宋" w:hint="eastAsia"/>
                <w:color w:val="auto"/>
                <w:kern w:val="0"/>
                <w:sz w:val="32"/>
                <w:szCs w:val="32"/>
              </w:rPr>
              <w:t>施工范围：</w:t>
            </w:r>
            <w:r>
              <w:rPr>
                <w:rFonts w:ascii="方正仿宋_GBK" w:eastAsia="方正仿宋_GBK" w:hint="eastAsia"/>
                <w:color w:val="auto"/>
                <w:kern w:val="0"/>
                <w:sz w:val="32"/>
                <w:szCs w:val="32"/>
                <w:lang w:val="en-US" w:eastAsia="zh-CN"/>
              </w:rPr>
              <w:t>玉林海关一区大院道路安全改造项目，具体详见施工图纸及工程量清单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方正仿宋_GBK" w:eastAsia="方正仿宋_GBK" w:hint="eastAsia"/>
                <w:color w:val="auto"/>
                <w:kern w:val="0"/>
                <w:sz w:val="32"/>
                <w:szCs w:val="32"/>
              </w:rPr>
            </w:pPr>
            <w:r>
              <w:rPr>
                <w:rFonts w:ascii="方正仿宋_GBK" w:eastAsia="方正仿宋_GBK" w:cs="仿宋" w:hint="eastAsia"/>
                <w:color w:val="auto"/>
                <w:kern w:val="0"/>
                <w:sz w:val="32"/>
                <w:szCs w:val="32"/>
              </w:rPr>
              <w:t>施工工期：</w:t>
            </w:r>
            <w:r>
              <w:rPr>
                <w:rFonts w:eastAsia="方正仿宋_GBK"/>
                <w:color w:val="auto"/>
                <w:kern w:val="0"/>
                <w:sz w:val="32"/>
                <w:szCs w:val="32"/>
                <w:lang w:val="en-US" w:eastAsia="zh-CN"/>
              </w:rPr>
              <w:t>30</w:t>
            </w:r>
            <w:r>
              <w:rPr>
                <w:rFonts w:ascii="方正仿宋_GBK" w:eastAsia="方正仿宋_GBK" w:cs="仿宋" w:hint="eastAsia"/>
                <w:color w:val="auto"/>
                <w:kern w:val="0"/>
                <w:sz w:val="32"/>
                <w:szCs w:val="32"/>
              </w:rPr>
              <w:t>日历天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方正仿宋_GBK" w:eastAsia="方正仿宋_GBK" w:hint="eastAsia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ascii="方正仿宋_GBK" w:eastAsia="方正仿宋_GBK" w:cs="仿宋" w:hint="eastAsia"/>
                <w:color w:val="auto"/>
                <w:kern w:val="0"/>
                <w:sz w:val="32"/>
                <w:szCs w:val="32"/>
              </w:rPr>
              <w:t>项目经理：</w:t>
            </w:r>
            <w:r>
              <w:rPr>
                <w:rFonts w:ascii="方正仿宋_GBK" w:eastAsia="方正仿宋_GBK" w:cs="仿宋" w:hint="eastAsia"/>
                <w:color w:val="auto"/>
                <w:kern w:val="0"/>
                <w:sz w:val="32"/>
                <w:szCs w:val="32"/>
                <w:lang w:val="en-US" w:eastAsia="zh-CN"/>
              </w:rPr>
              <w:t>陆秋芳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方正仿宋_GBK" w:eastAsia="方正仿宋_GBK" w:hint="eastAsia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ascii="方正仿宋_GBK" w:eastAsia="方正仿宋_GBK" w:cs="仿宋" w:hint="eastAsia"/>
                <w:color w:val="auto"/>
                <w:kern w:val="0"/>
                <w:sz w:val="32"/>
                <w:szCs w:val="32"/>
              </w:rPr>
              <w:t>执业证书信息：</w:t>
            </w:r>
            <w:r>
              <w:rPr>
                <w:rFonts w:ascii="方正仿宋_GBK" w:eastAsia="方正仿宋_GBK" w:hint="eastAsia"/>
                <w:color w:val="auto"/>
                <w:kern w:val="0"/>
                <w:sz w:val="32"/>
                <w:szCs w:val="32"/>
                <w:lang w:val="en-US" w:eastAsia="zh-CN"/>
              </w:rPr>
              <w:t>建筑工程专业二级注册建造师执业资格（注册编号：桂</w:t>
            </w:r>
            <w:r>
              <w:rPr>
                <w:rFonts w:eastAsia="方正仿宋_GBK"/>
                <w:color w:val="auto"/>
                <w:kern w:val="0"/>
                <w:sz w:val="32"/>
                <w:szCs w:val="32"/>
                <w:lang w:val="en-US" w:eastAsia="zh-CN"/>
              </w:rPr>
              <w:t>245202200727</w:t>
            </w:r>
            <w:r>
              <w:rPr>
                <w:rFonts w:ascii="方正仿宋_GBK" w:eastAsia="方正仿宋_GBK" w:hint="eastAsia"/>
                <w:color w:val="auto"/>
                <w:kern w:val="0"/>
                <w:sz w:val="32"/>
                <w:szCs w:val="32"/>
                <w:lang w:val="en-US" w:eastAsia="zh-CN"/>
              </w:rPr>
              <w:t>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仿宋" w:eastAsia="仿宋" w:cs="仿宋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ascii="方正黑体_GBK" w:eastAsia="方正黑体_GBK" w:cs="黑体" w:hint="eastAsia"/>
          <w:bCs/>
          <w:kern w:val="0"/>
          <w:sz w:val="32"/>
          <w:szCs w:val="32"/>
        </w:rPr>
        <w:t>五、评审专家名单：</w:t>
      </w:r>
      <w:r>
        <w:rPr>
          <w:rFonts w:ascii="方正仿宋_GBK" w:eastAsia="方正仿宋_GBK" w:cs="仿宋" w:hint="eastAsia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宁绍清、廖瑞云、罗广生（采购人代表）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方正仿宋_GBK" w:eastAsia="方正仿宋_GBK" w:cs="仿宋" w:hint="eastAsia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ascii="方正黑体_GBK" w:eastAsia="方正黑体_GBK" w:cs="黑体" w:hint="eastAsia"/>
          <w:bCs/>
          <w:kern w:val="0"/>
          <w:sz w:val="32"/>
          <w:szCs w:val="32"/>
        </w:rPr>
        <w:t>六、代理服务收费标准及金额：</w:t>
      </w:r>
      <w:r>
        <w:rPr>
          <w:rFonts w:ascii="方正仿宋_GBK" w:eastAsia="方正仿宋_GBK" w:cs="仿宋" w:hint="eastAsia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按国家发展改革委《关于进一步放开建设项目专业服务价格的通知》发改价格〔</w:t>
      </w:r>
      <w:r>
        <w:rPr>
          <w:rFonts w:eastAsia="方正仿宋_GBK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2015</w:t>
      </w:r>
      <w:r>
        <w:rPr>
          <w:rFonts w:ascii="方正仿宋_GBK" w:eastAsia="方正仿宋_GBK" w:cs="仿宋" w:hint="eastAsia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〕</w:t>
      </w:r>
      <w:r>
        <w:rPr>
          <w:rFonts w:eastAsia="方正仿宋_GBK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299</w:t>
      </w:r>
      <w:r>
        <w:rPr>
          <w:rFonts w:ascii="方正仿宋_GBK" w:eastAsia="方正仿宋_GBK" w:cs="仿宋" w:hint="eastAsia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号文“工程类”收费标准以采购预算金额计取，代理服务费为：贰仟玖佰壹拾叁元整（¥</w:t>
      </w:r>
      <w:r>
        <w:rPr>
          <w:rFonts w:eastAsia="方正仿宋_GBK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2913.00</w:t>
      </w:r>
      <w:r>
        <w:rPr>
          <w:rFonts w:ascii="方正仿宋_GBK" w:eastAsia="方正仿宋_GBK" w:cs="仿宋" w:hint="eastAsia"/>
          <w:b w:val="0"/>
          <w:bCs w:val="0"/>
          <w:color w:val="auto"/>
          <w:kern w:val="0"/>
          <w:sz w:val="32"/>
          <w:szCs w:val="32"/>
          <w:u w:val="none"/>
          <w:lang w:val="en-US" w:eastAsia="zh-CN"/>
        </w:rPr>
        <w:t>），由成交供应商领取成交通知书前，一次性向采购代理机构支付。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460" w:lineRule="exact"/>
        <w:rPr>
          <w:rFonts w:ascii="方正黑体_GBK" w:eastAsia="方正黑体_GBK" w:cs="黑体" w:hint="eastAsia"/>
          <w:bCs/>
          <w:kern w:val="0"/>
          <w:sz w:val="32"/>
          <w:szCs w:val="32"/>
        </w:rPr>
      </w:pPr>
      <w:r>
        <w:rPr>
          <w:rFonts w:ascii="方正黑体_GBK" w:eastAsia="方正黑体_GBK" w:cs="黑体" w:hint="eastAsia"/>
          <w:bCs/>
          <w:kern w:val="0"/>
          <w:sz w:val="32"/>
          <w:szCs w:val="32"/>
        </w:rPr>
        <w:t>七、公告期限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640"/>
        <w:textAlignment w:val="auto"/>
        <w:rPr>
          <w:rFonts w:ascii="方正仿宋_GBK" w:eastAsia="方正仿宋_GBK" w:hint="eastAsia"/>
          <w:color w:val="auto"/>
          <w:kern w:val="0"/>
          <w:sz w:val="32"/>
          <w:szCs w:val="32"/>
        </w:rPr>
      </w:pPr>
      <w:r>
        <w:rPr>
          <w:rFonts w:ascii="方正仿宋_GBK" w:eastAsia="方正仿宋_GBK" w:cs="仿宋" w:hint="eastAsia"/>
          <w:color w:val="auto"/>
          <w:kern w:val="0"/>
          <w:sz w:val="32"/>
          <w:szCs w:val="32"/>
        </w:rPr>
        <w:t>自本公告发布之日起</w:t>
      </w:r>
      <w:r>
        <w:rPr>
          <w:rFonts w:eastAsia="方正仿宋_GBK"/>
          <w:color w:val="auto"/>
          <w:kern w:val="0"/>
          <w:sz w:val="32"/>
          <w:szCs w:val="32"/>
        </w:rPr>
        <w:t>1</w:t>
      </w:r>
      <w:r>
        <w:rPr>
          <w:rFonts w:ascii="方正仿宋_GBK" w:eastAsia="方正仿宋_GBK" w:cs="仿宋" w:hint="eastAsia"/>
          <w:color w:val="auto"/>
          <w:kern w:val="0"/>
          <w:sz w:val="32"/>
          <w:szCs w:val="32"/>
        </w:rPr>
        <w:t>个工作日。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460" w:lineRule="exact"/>
        <w:rPr>
          <w:rFonts w:ascii="方正黑体_GBK" w:eastAsia="方正黑体_GBK" w:cs="黑体" w:hint="eastAsia"/>
          <w:kern w:val="0"/>
          <w:sz w:val="32"/>
          <w:szCs w:val="32"/>
          <w:lang w:eastAsia="zh-CN"/>
        </w:rPr>
      </w:pPr>
      <w:r>
        <w:rPr>
          <w:rFonts w:ascii="方正黑体_GBK" w:eastAsia="方正黑体_GBK" w:cs="黑体" w:hint="eastAsia"/>
          <w:bCs/>
          <w:kern w:val="0"/>
          <w:sz w:val="32"/>
          <w:szCs w:val="32"/>
          <w:lang w:val="en-US" w:eastAsia="zh-CN" w:bidi="ar-SA"/>
        </w:rPr>
        <w:t>八</w:t>
      </w:r>
      <w:r>
        <w:rPr>
          <w:rFonts w:ascii="方正黑体_GBK" w:eastAsia="方正黑体_GBK" w:cs="黑体" w:hint="eastAsia"/>
          <w:kern w:val="0"/>
          <w:sz w:val="32"/>
          <w:szCs w:val="32"/>
          <w:lang w:val="en-US" w:eastAsia="zh-CN" w:bidi="ar-SA"/>
        </w:rPr>
        <w:t>、</w:t>
      </w:r>
      <w:r>
        <w:rPr>
          <w:rFonts w:ascii="方正黑体_GBK" w:eastAsia="方正黑体_GBK" w:cs="黑体" w:hint="eastAsia"/>
          <w:kern w:val="0"/>
          <w:sz w:val="32"/>
          <w:szCs w:val="32"/>
        </w:rPr>
        <w:t>其他补充事宜</w:t>
      </w:r>
      <w:r>
        <w:rPr>
          <w:rFonts w:ascii="方正黑体_GBK" w:eastAsia="方正黑体_GBK" w:cs="黑体" w:hint="eastAsia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60" w:lineRule="exact"/>
        <w:ind w:firstLineChars="200" w:firstLine="640"/>
        <w:jc w:val="left"/>
        <w:textAlignment w:val="auto"/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</w:pPr>
      <w:r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  <w:t>公告查询地址：中华人民共和国南宁海关网（</w:t>
      </w:r>
      <w:r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  <w:fldChar w:fldCharType="begin"/>
      </w:r>
      <w:r>
        <w:instrText>HYPERLINK "http://www.kwbid.com.cn"</w:instrText>
      </w:r>
      <w:r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  <w:fldChar w:fldCharType="separate"/>
      </w:r>
      <w:r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  <w:t>nanning.customs.gov.cn</w:t>
      </w:r>
      <w:r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  <w:fldChar w:fldCharType="end"/>
      </w:r>
      <w:r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  <w:t>）、广西城建咨询设计有限公司网（http://www.gxchengjian.com/）。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方正黑体_GBK" w:eastAsia="方正黑体_GBK" w:hint="eastAsia"/>
          <w:color w:val="auto"/>
          <w:kern w:val="0"/>
          <w:sz w:val="32"/>
          <w:szCs w:val="32"/>
        </w:rPr>
      </w:pPr>
      <w:r>
        <w:rPr>
          <w:rFonts w:ascii="方正黑体_GBK" w:eastAsia="方正黑体_GBK" w:cs="黑体" w:hint="eastAsia"/>
          <w:color w:val="auto"/>
          <w:kern w:val="0"/>
          <w:sz w:val="32"/>
          <w:szCs w:val="32"/>
        </w:rPr>
        <w:t>九、凡对本次公告内容提出询问，请按以下方式联系。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firstLineChars="200" w:firstLine="640"/>
        <w:textAlignment w:val="auto"/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</w:pPr>
      <w:r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  <w:t>1.采购人信息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firstLineChars="200" w:firstLine="640"/>
        <w:textAlignment w:val="auto"/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</w:pPr>
      <w:r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  <w:t>名 称：中华人民共和国玉林海关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firstLineChars="200" w:firstLine="640"/>
        <w:textAlignment w:val="auto"/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</w:pPr>
      <w:r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  <w:t>地址：广西玉林市教育东路</w:t>
      </w:r>
      <w:r>
        <w:rPr>
          <w:rFonts w:eastAsia="方正仿宋_GBK"/>
          <w:color w:val="auto"/>
          <w:kern w:val="0"/>
          <w:sz w:val="32"/>
          <w:szCs w:val="32"/>
          <w:lang w:val="en-US" w:eastAsia="zh-CN"/>
        </w:rPr>
        <w:t>128</w:t>
      </w:r>
      <w:r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firstLineChars="200" w:firstLine="640"/>
        <w:textAlignment w:val="auto"/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</w:pPr>
      <w:r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  <w:t>项目联系人：罗广生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firstLineChars="200" w:firstLine="640"/>
        <w:textAlignment w:val="auto"/>
        <w:rPr>
          <w:rFonts w:eastAsia="方正仿宋_GBK"/>
          <w:color w:val="auto"/>
          <w:kern w:val="0"/>
          <w:sz w:val="32"/>
          <w:szCs w:val="32"/>
          <w:lang w:val="en-US" w:eastAsia="zh-CN"/>
        </w:rPr>
      </w:pPr>
      <w:r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  <w:t>联系电话：</w:t>
      </w:r>
      <w:r>
        <w:rPr>
          <w:rFonts w:eastAsia="方正仿宋_GBK"/>
          <w:color w:val="auto"/>
          <w:kern w:val="0"/>
          <w:sz w:val="32"/>
          <w:szCs w:val="32"/>
          <w:lang w:val="en-US" w:eastAsia="zh-CN"/>
        </w:rPr>
        <w:t>0775-2720202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firstLineChars="200" w:firstLine="640"/>
        <w:textAlignment w:val="auto"/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</w:pPr>
      <w:r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  <w:t>2.采购代理机构信息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firstLineChars="200" w:firstLine="640"/>
        <w:textAlignment w:val="auto"/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</w:pPr>
      <w:r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  <w:t>名 称：广西城建咨询设计有限公司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firstLineChars="200" w:firstLine="640"/>
        <w:textAlignment w:val="auto"/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</w:pPr>
      <w:r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  <w:t>地　址：南宁市青秀区金湖路58号广西建设大厦三楼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firstLineChars="200" w:firstLine="640"/>
        <w:textAlignment w:val="auto"/>
        <w:rPr>
          <w:rFonts w:eastAsia="方正仿宋_GBK"/>
          <w:color w:val="auto"/>
          <w:kern w:val="0"/>
          <w:sz w:val="32"/>
          <w:szCs w:val="32"/>
          <w:lang w:val="en-US" w:eastAsia="zh-CN"/>
        </w:rPr>
      </w:pPr>
      <w:r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  <w:t>联系电话：</w:t>
      </w:r>
      <w:r>
        <w:rPr>
          <w:rFonts w:eastAsia="方正仿宋_GBK"/>
          <w:color w:val="auto"/>
          <w:kern w:val="0"/>
          <w:sz w:val="32"/>
          <w:szCs w:val="32"/>
          <w:lang w:val="en-US" w:eastAsia="zh-CN"/>
        </w:rPr>
        <w:t>15977505290/19175895822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firstLineChars="200" w:firstLine="640"/>
        <w:textAlignment w:val="auto"/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</w:pPr>
      <w:r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  <w:t>3.项目联系方式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firstLineChars="200" w:firstLine="640"/>
        <w:textAlignment w:val="auto"/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</w:pPr>
      <w:r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  <w:t>项目联系人：梁宝月/苏龙葭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firstLineChars="200" w:firstLine="640"/>
        <w:textAlignment w:val="auto"/>
        <w:rPr>
          <w:rFonts w:eastAsia="方正仿宋_GBK"/>
          <w:color w:val="auto"/>
          <w:kern w:val="0"/>
          <w:sz w:val="32"/>
          <w:szCs w:val="32"/>
          <w:lang w:val="en-US" w:eastAsia="zh-CN"/>
        </w:rPr>
      </w:pPr>
      <w:r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/>
        </w:rPr>
        <w:t>电    话：</w:t>
      </w:r>
      <w:r>
        <w:rPr>
          <w:rFonts w:eastAsia="方正仿宋_GBK"/>
          <w:color w:val="auto"/>
          <w:kern w:val="0"/>
          <w:sz w:val="32"/>
          <w:szCs w:val="32"/>
          <w:lang w:val="en-US" w:eastAsia="zh-CN"/>
        </w:rPr>
        <w:t>15977505290/19175895822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0" w:firstLineChars="200" w:firstLine="640"/>
        <w:textAlignment w:val="auto"/>
        <w:rPr>
          <w:rFonts w:ascii="仿宋" w:eastAsia="仿宋" w:cs="仿宋" w:hint="eastAsia"/>
          <w:color w:val="auto"/>
          <w:kern w:val="0"/>
          <w:sz w:val="32"/>
          <w:szCs w:val="32"/>
          <w:lang w:val="en-US" w:eastAsia="zh-CN"/>
        </w:rPr>
      </w:pPr>
    </w:p>
    <w:p>
      <w:pPr>
        <w:bidi w:val="0"/>
        <w:rPr>
          <w:rFonts w:hint="eastAsia"/>
          <w:color w:val="auto"/>
          <w:sz w:val="32"/>
          <w:szCs w:val="32"/>
        </w:rPr>
      </w:pPr>
    </w:p>
    <w:p>
      <w:pPr>
        <w:pStyle w:val="2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黑体" w:eastAsia="黑体" w:cs="黑体" w:hint="eastAsia"/>
          <w:color w:val="auto"/>
          <w:kern w:val="0"/>
          <w:sz w:val="32"/>
          <w:szCs w:val="32"/>
        </w:rPr>
      </w:pPr>
    </w:p>
    <w:p>
      <w:pPr>
        <w:pStyle w:val="2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 w:bidi="ar-SA"/>
        </w:rPr>
      </w:pPr>
      <w:r>
        <w:rPr>
          <w:rFonts w:ascii="黑体" w:eastAsia="黑体" w:cs="黑体" w:hint="eastAsia"/>
          <w:color w:val="auto"/>
          <w:kern w:val="0"/>
          <w:sz w:val="32"/>
          <w:szCs w:val="32"/>
          <w:lang w:val="en-US" w:eastAsia="zh-CN"/>
        </w:rPr>
        <w:t xml:space="preserve">                       </w:t>
      </w:r>
      <w:r>
        <w:rPr>
          <w:rFonts w:ascii="仿宋" w:eastAsia="仿宋" w:cs="仿宋" w:hint="eastAsia"/>
          <w:color w:val="auto"/>
          <w:kern w:val="0"/>
          <w:sz w:val="32"/>
          <w:szCs w:val="32"/>
          <w:lang w:val="en-US" w:eastAsia="zh-CN" w:bidi="ar-SA"/>
        </w:rPr>
        <w:t xml:space="preserve">       </w:t>
      </w:r>
      <w:r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 w:bidi="ar-SA"/>
        </w:rPr>
        <w:t xml:space="preserve">           玉林海关</w:t>
      </w:r>
    </w:p>
    <w:p>
      <w:pPr>
        <w:pStyle w:val="2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 w:bidi="ar-SA"/>
        </w:rPr>
      </w:pPr>
      <w:r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 w:bidi="ar-SA"/>
        </w:rPr>
        <w:t xml:space="preserve">                                   </w:t>
      </w:r>
      <w:r>
        <w:rPr>
          <w:rFonts w:ascii="Times New Roman" w:eastAsia="方正仿宋_GBK" w:hAnsi="Times New Roman"/>
          <w:color w:val="auto"/>
          <w:kern w:val="0"/>
          <w:sz w:val="32"/>
          <w:szCs w:val="32"/>
          <w:lang w:val="en-US" w:eastAsia="zh-CN" w:bidi="ar-SA"/>
        </w:rPr>
        <w:t xml:space="preserve"> 2025</w:t>
      </w:r>
      <w:r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 w:bidi="ar-SA"/>
        </w:rPr>
        <w:t>年</w:t>
      </w:r>
      <w:r>
        <w:rPr>
          <w:rFonts w:ascii="Times New Roman" w:eastAsia="方正仿宋_GBK" w:hAnsi="Times New Roman"/>
          <w:color w:val="auto"/>
          <w:kern w:val="0"/>
          <w:sz w:val="32"/>
          <w:szCs w:val="32"/>
          <w:lang w:val="en-US" w:eastAsia="zh-CN" w:bidi="ar-SA"/>
        </w:rPr>
        <w:t>10</w:t>
      </w:r>
      <w:r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 w:bidi="ar-SA"/>
        </w:rPr>
        <w:t>月</w:t>
      </w:r>
      <w:r>
        <w:rPr>
          <w:rFonts w:ascii="Times New Roman" w:eastAsia="方正仿宋_GBK" w:hAnsi="Times New Roman"/>
          <w:color w:val="auto"/>
          <w:kern w:val="0"/>
          <w:sz w:val="32"/>
          <w:szCs w:val="32"/>
          <w:lang w:val="en-US" w:eastAsia="zh-CN" w:bidi="ar-SA"/>
        </w:rPr>
        <w:t>29</w:t>
      </w:r>
      <w:r>
        <w:rPr>
          <w:rFonts w:ascii="方正仿宋_GBK" w:eastAsia="方正仿宋_GBK" w:cs="仿宋" w:hint="eastAsia"/>
          <w:color w:val="auto"/>
          <w:kern w:val="0"/>
          <w:sz w:val="32"/>
          <w:szCs w:val="32"/>
          <w:lang w:val="en-US" w:eastAsia="zh-CN" w:bidi="ar-SA"/>
        </w:rPr>
        <w:t>日</w:t>
      </w:r>
    </w:p>
    <w:p>
      <w:pPr>
        <w:rPr>
          <w:rFonts w:ascii="仿宋" w:eastAsia="仿宋" w:cs="仿宋"/>
          <w:color w:val="auto"/>
          <w:kern w:val="0"/>
          <w:sz w:val="28"/>
          <w:szCs w:val="28"/>
          <w:lang w:val="en-US" w:eastAsia="zh-CN" w:bidi="ar-SA"/>
        </w:rPr>
      </w:pPr>
    </w:p>
    <w:sectPr>
      <w:footerReference w:type="default" r:id="rId2"/>
      <w:pgSz w:w="11906" w:h="16838"/>
      <w:pgMar w:top="1440" w:right="1286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1"/>
    <w:family w:val="swiss"/>
    <w:pitch w:val="variable"/>
    <w:sig w:usb0="00000203" w:usb1="288F0000" w:usb2="00000006" w:usb3="00000000" w:csb0="00040001" w:csb1="00000000"/>
  </w:font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Times New Roman">
    <w:panose1 w:val="02020603050405020304"/>
    <w:charset w:val="01"/>
    <w:family w:val="swiss"/>
    <w:pitch w:val="variable"/>
    <w:sig w:usb0="E0002EFF" w:usb1="C000785B" w:usb2="00000009" w:usb3="00000000" w:csb0="400001FF" w:csb1="FFFF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Courier New">
    <w:panose1 w:val="02070309020205020404"/>
    <w:charset w:val="01"/>
    <w:family w:val="modern"/>
    <w:pitch w:val="variable"/>
    <w:sig w:usb0="E0002EFF" w:usb1="C0007843" w:usb2="00000009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9"/>
      <w:tabs>
        <w:tab w:val="center" w:pos="4153"/>
        <w:tab w:val="right" w:pos="8306"/>
      </w:tabs>
    </w:pPr>
    <w:r>
      <w:rPr>
        <w:sz w:val="18"/>
      </w:rPr>
      <mc:AlternateContent>
        <mc:Choice Requires="wps">
          <w:drawing>
            <wp:anchor distT="0" distB="0" distL="114298" distR="114298" simplePos="0" relativeHeight="10" behindDoc="0" locked="0" layoutInCell="1" hidden="0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149" cy="131557"/>
              <wp:effectExtent l="0" t="0" r="0" b="0"/>
              <wp:wrapNone/>
              <wp:docPr id="1" name="文本框 1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57149" cy="131557"/>
                      </a:xfrm>
                      <a:prstGeom prst="rect"/>
                      <a:noFill/>
                      <a:ln w="6350" cmpd="sng" cap="flat">
                        <a:noFill/>
                        <a:prstDash val="solid"/>
                        <a:round/>
                      </a:ln>
                    </wps:spPr>
                    <wps:txbx id="2">
                      <w:txbxContent>
                        <w:p>
                          <w:pPr>
                            <w:pStyle w:val="19"/>
                            <w:tabs>
                              <w:tab w:val="center" w:pos="4153"/>
                              <w:tab w:val="right" w:pos="8306"/>
                            </w:tabs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文本框 1 3" o:spid="_x0000_s3" filled="f" stroked="f" strokeweight="0.5pt" style="position:absolute;margin-left:0.0pt;margin-top:0.0pt;width:4.4999313pt;height:10.35884pt;z-index:10;mso-position-horizontal:center;mso-position-horizontal-relative:margin;mso-position-vertical:absolute;mso-wrap-distance-left:8.999863pt;mso-wrap-distance-right:8.999863pt;mso-wrap-style:none;">
              <v:stroke color="#000000"/>
              <v:textbox id="848" inset="0mm,0mm,0mm,0mm" o:insetmode="custom" style="layout-flow:horizontal;v-text-anchor:top;mso-fit-shape-to-text:t;">
                <w:txbxContent>
                  <w:p>
                    <w:pPr>
                      <w:pStyle w:val="19"/>
                      <w:tabs>
                        <w:tab w:val="center" w:pos="4153"/>
                        <w:tab w:val="right" w:pos="8306"/>
                      </w:tabs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9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useAltKinsokuLineBreakRules/>
    <w:compatSetting w:name="compatibilityMode" w:uri="http://schemas.microsoft.com/office/word" w:val="14"/>
  </w:compat>
  <w:docVars>
    <w:docVar w:name="commondata" w:val="eyJoZGlkIjoiMDg3ZjliYzYyYTZhMmYzOTNhYmZjODJjNTA1NjZkODA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4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1"/>
      <w:lang w:val="en-US" w:eastAsia="zh-CN" w:bidi="ar-SA"/>
    </w:rPr>
  </w:style>
  <w:style w:type="paragraph" w:styleId="1">
    <w:name w:val="heading 1"/>
    <w:basedOn w:val="0"/>
    <w:autoRedefine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autoRedefine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cs="Arial" w:hAnsi="Arial"/>
      <w:b/>
      <w:bCs/>
      <w:sz w:val="32"/>
      <w:szCs w:val="32"/>
    </w:rPr>
  </w:style>
  <w:style w:type="paragraph" w:styleId="4">
    <w:name w:val="heading 4"/>
    <w:basedOn w:val="0"/>
    <w:autoRedefine/>
    <w:next w:val="0"/>
    <w:pPr>
      <w:keepNext/>
      <w:keepLines/>
      <w:widowControl w:val="0"/>
      <w:spacing w:before="280" w:after="290" w:line="377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10">
    <w:name w:val="Default Paragraph Font"/>
    <w:autoRedefine/>
  </w:style>
  <w:style w:type="paragraph" w:styleId="15">
    <w:name w:val="annotation text"/>
    <w:basedOn w:val="0"/>
    <w:autoRedefine/>
    <w:pPr>
      <w:adjustRightInd w:val="0"/>
      <w:spacing w:line="312" w:lineRule="atLeast"/>
      <w:jc w:val="left"/>
      <w:textAlignment w:val="baseline"/>
    </w:pPr>
    <w:rPr>
      <w:rFonts w:ascii="Times New Roman" w:eastAsia="宋体" w:cs="Times New Roman" w:hAnsi="Times New Roman"/>
      <w:kern w:val="0"/>
      <w:szCs w:val="20"/>
    </w:rPr>
  </w:style>
  <w:style w:type="paragraph" w:styleId="16">
    <w:name w:val="Body Text"/>
    <w:basedOn w:val="0"/>
    <w:autoRedefine/>
    <w:pPr>
      <w:spacing w:after="120"/>
    </w:pPr>
  </w:style>
  <w:style w:type="paragraph" w:styleId="17">
    <w:name w:val="Body Text Indent"/>
    <w:basedOn w:val="0"/>
    <w:autoRedefine/>
    <w:pPr>
      <w:spacing w:line="440" w:lineRule="exact"/>
      <w:ind w:firstLineChars="196" w:firstLine="196"/>
    </w:pPr>
    <w:rPr>
      <w:rFonts w:ascii="宋体" w:eastAsia="宋体" w:cs="Courier New"/>
      <w:spacing w:val="2"/>
      <w:szCs w:val="24"/>
    </w:rPr>
  </w:style>
  <w:style w:type="paragraph" w:styleId="18">
    <w:name w:val="Plain Text"/>
    <w:basedOn w:val="0"/>
    <w:autoRedefine/>
    <w:rPr>
      <w:rFonts w:ascii="宋体" w:cs="宋体"/>
    </w:rPr>
  </w:style>
  <w:style w:type="paragraph" w:styleId="19">
    <w:name w:val="footer"/>
    <w:basedOn w:val="0"/>
    <w:autoRedefine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20">
    <w:name w:val="header"/>
    <w:basedOn w:val="0"/>
    <w:autoRedefine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21">
    <w:name w:val="Normal (Web)"/>
    <w:basedOn w:val="0"/>
    <w:autoRedefine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styleId="22">
    <w:name w:val="Body Text First Indent"/>
    <w:basedOn w:val="16"/>
    <w:autoRedefine/>
    <w:pPr>
      <w:ind w:firstLineChars="100" w:firstLine="100"/>
    </w:pPr>
    <w:rPr>
      <w:rFonts w:ascii="宋体"/>
      <w:kern w:val="0"/>
      <w:sz w:val="20"/>
      <w:szCs w:val="21"/>
    </w:rPr>
  </w:style>
  <w:style w:type="paragraph" w:styleId="23">
    <w:name w:val="Body Text First Indent 2"/>
    <w:basedOn w:val="17"/>
    <w:autoRedefine/>
    <w:pPr>
      <w:ind w:firstLineChars="200" w:firstLine="200"/>
    </w:pPr>
  </w:style>
  <w:style w:type="paragraph" w:customStyle="1" w:styleId="24">
    <w:name w:val="样式 二号"/>
    <w:pPr>
      <w:keepNext/>
      <w:keepLines/>
      <w:widowControl w:val="0"/>
      <w:spacing w:before="340" w:after="330" w:line="578" w:lineRule="auto"/>
      <w:jc w:val="both"/>
      <w:outlineLvl w:val="0"/>
    </w:pPr>
    <w:rPr>
      <w:rFonts w:ascii="Times New Roman" w:eastAsia="宋体" w:cs="Times New Roman" w:hAnsi="Times New Roman"/>
      <w:b/>
      <w:bCs/>
      <w:kern w:val="44"/>
      <w:sz w:val="44"/>
      <w:szCs w:val="4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28</TotalTime>
  <Application>Yozo_Office</Application>
  <Pages>2</Pages>
  <Words>639</Words>
  <Characters>810</Characters>
  <Lines>50</Lines>
  <Paragraphs>36</Paragraphs>
  <CharactersWithSpaces>894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HP</dc:creator>
  <cp:lastModifiedBy>李琦</cp:lastModifiedBy>
  <cp:revision>1</cp:revision>
  <cp:lastPrinted>2022-01-25T04:15:00Z</cp:lastPrinted>
  <dcterms:created xsi:type="dcterms:W3CDTF">2020-07-14T09:19:00Z</dcterms:created>
  <dcterms:modified xsi:type="dcterms:W3CDTF">2025-10-29T06:47:11Z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2052-12.1.0.23125</vt:lpwstr>
  </property>
  <property fmtid="{D5CDD505-2E9C-101B-9397-08002B2CF9AE}" pid="3" name="ICV">
    <vt:lpwstr>A6C6450243604AF79A2FD599C946FB67</vt:lpwstr>
  </property>
  <property fmtid="{D5CDD505-2E9C-101B-9397-08002B2CF9AE}" pid="4" name="KSOTemplateDocerSaveRecord">
    <vt:lpwstr>eyJoZGlkIjoiYjhiMTE2NzQxYjVmYWZkN2NiNTQ3MDg5YTcyMDFiNWQiLCJ1c2VySWQiOiIzOTAxMDA1NDAifQ==</vt:lpwstr>
  </property>
</Properties>
</file>