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rPr>
          <w:rFonts w:ascii="宋体" w:cs="宋体"/>
          <w:b/>
          <w:sz w:val="32"/>
          <w:szCs w:val="32"/>
        </w:rPr>
      </w:pPr>
      <w:bookmarkStart w:id="0" w:name="_GoBack"/>
      <w:bookmarkEnd w:id="0"/>
      <w:r>
        <w:rPr>
          <w:rFonts w:ascii="宋体" w:cs="宋体" w:hint="eastAsia"/>
          <w:b/>
          <w:sz w:val="30"/>
          <w:szCs w:val="30"/>
        </w:rPr>
        <w:t>202</w:t>
      </w:r>
      <w:r>
        <w:rPr>
          <w:rFonts w:ascii="宋体" w:cs="宋体"/>
          <w:b/>
          <w:sz w:val="30"/>
          <w:szCs w:val="30"/>
        </w:rPr>
        <w:t>5</w:t>
      </w:r>
      <w:r>
        <w:rPr>
          <w:rFonts w:ascii="宋体" w:cs="宋体" w:hint="eastAsia"/>
          <w:b/>
          <w:sz w:val="30"/>
          <w:szCs w:val="30"/>
        </w:rPr>
        <w:t>年度桂林海关门户网站建设项目评分标准</w:t>
      </w:r>
    </w:p>
    <w:tbl>
      <w:tblPr>
        <w:jc w:val="center"/>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0"/>
        <w:gridCol w:w="1604"/>
        <w:gridCol w:w="7401"/>
      </w:tblGrid>
      <w:tr>
        <w:trPr>
          <w:trHeight w:val="571"/>
        </w:trPr>
        <w:tc>
          <w:tcPr>
            <w:tcW w:w="730" w:type="dxa"/>
            <w:noWrap/>
            <w:vAlign w:val="center"/>
          </w:tcPr>
          <w:p>
            <w:pPr>
              <w:adjustRightInd w:val="0"/>
              <w:spacing w:line="410" w:lineRule="exact"/>
              <w:jc w:val="center"/>
              <w:textAlignment w:val="baseline"/>
              <w:rPr>
                <w:rFonts w:ascii="宋体" w:cs="宋体"/>
                <w:b/>
                <w:szCs w:val="21"/>
              </w:rPr>
            </w:pPr>
            <w:r>
              <w:rPr>
                <w:rFonts w:ascii="宋体" w:cs="宋体" w:hint="eastAsia"/>
                <w:b/>
                <w:szCs w:val="21"/>
              </w:rPr>
              <w:t>序号</w:t>
            </w:r>
          </w:p>
        </w:tc>
        <w:tc>
          <w:tcPr>
            <w:tcW w:w="1604" w:type="dxa"/>
            <w:noWrap/>
            <w:vAlign w:val="center"/>
          </w:tcPr>
          <w:p>
            <w:pPr>
              <w:adjustRightInd w:val="0"/>
              <w:spacing w:line="410" w:lineRule="exact"/>
              <w:jc w:val="center"/>
              <w:textAlignment w:val="baseline"/>
              <w:rPr>
                <w:rFonts w:ascii="宋体" w:cs="宋体"/>
                <w:szCs w:val="21"/>
              </w:rPr>
            </w:pPr>
            <w:r>
              <w:rPr>
                <w:rFonts w:ascii="宋体" w:cs="宋体" w:hint="eastAsia"/>
                <w:b/>
                <w:szCs w:val="21"/>
              </w:rPr>
              <w:t>评审因素</w:t>
            </w:r>
          </w:p>
        </w:tc>
        <w:tc>
          <w:tcPr>
            <w:tcW w:w="7401" w:type="dxa"/>
            <w:noWrap/>
            <w:vAlign w:val="center"/>
          </w:tcPr>
          <w:p>
            <w:pPr>
              <w:adjustRightInd w:val="0"/>
              <w:spacing w:line="410" w:lineRule="exact"/>
              <w:jc w:val="center"/>
              <w:textAlignment w:val="baseline"/>
              <w:rPr>
                <w:rFonts w:ascii="宋体" w:cs="宋体"/>
                <w:b/>
                <w:szCs w:val="21"/>
              </w:rPr>
            </w:pPr>
            <w:r>
              <w:rPr>
                <w:rFonts w:ascii="宋体" w:cs="宋体" w:hint="eastAsia"/>
                <w:b/>
                <w:szCs w:val="21"/>
              </w:rPr>
              <w:t>评分标准</w:t>
            </w:r>
          </w:p>
        </w:tc>
      </w:tr>
      <w:tr>
        <w:trPr>
          <w:trHeight w:val="6114"/>
        </w:trPr>
        <w:tc>
          <w:tcPr>
            <w:tcW w:w="730" w:type="dxa"/>
            <w:noWrap/>
            <w:vAlign w:val="center"/>
          </w:tcPr>
          <w:p>
            <w:pPr>
              <w:adjustRightInd w:val="0"/>
              <w:spacing w:line="360" w:lineRule="auto"/>
              <w:jc w:val="center"/>
              <w:textAlignment w:val="baseline"/>
              <w:rPr>
                <w:rFonts w:ascii="宋体" w:cs="宋体"/>
                <w:b/>
                <w:szCs w:val="21"/>
              </w:rPr>
            </w:pPr>
            <w:r>
              <w:rPr>
                <w:rFonts w:ascii="宋体" w:cs="宋体" w:hint="eastAsia"/>
                <w:b/>
                <w:szCs w:val="21"/>
              </w:rPr>
              <w:t>1</w:t>
            </w:r>
          </w:p>
        </w:tc>
        <w:tc>
          <w:tcPr>
            <w:tcW w:w="1604" w:type="dxa"/>
            <w:noWrap/>
            <w:vAlign w:val="center"/>
          </w:tcPr>
          <w:p>
            <w:pPr>
              <w:adjustRightInd w:val="0"/>
              <w:spacing w:line="360" w:lineRule="auto"/>
              <w:jc w:val="center"/>
              <w:textAlignment w:val="baseline"/>
              <w:rPr>
                <w:rFonts w:ascii="宋体" w:cs="宋体"/>
                <w:b/>
                <w:bCs/>
              </w:rPr>
            </w:pPr>
            <w:r>
              <w:rPr>
                <w:rFonts w:ascii="宋体" w:cs="宋体" w:hint="eastAsia"/>
                <w:b/>
                <w:bCs/>
              </w:rPr>
              <w:t>价 格</w:t>
            </w:r>
          </w:p>
          <w:p>
            <w:pPr>
              <w:adjustRightInd w:val="0"/>
              <w:spacing w:line="360" w:lineRule="auto"/>
              <w:jc w:val="center"/>
              <w:textAlignment w:val="baseline"/>
              <w:rPr>
                <w:rFonts w:ascii="宋体" w:cs="宋体" w:hint="eastAsia"/>
                <w:b/>
                <w:bCs/>
              </w:rPr>
            </w:pPr>
            <w:r>
              <w:rPr>
                <w:rFonts w:ascii="宋体" w:cs="宋体" w:hint="eastAsia"/>
                <w:b/>
                <w:bCs/>
              </w:rPr>
              <w:t>（</w:t>
            </w:r>
            <w:r>
              <w:rPr>
                <w:rFonts w:ascii="宋体" w:cs="宋体" w:hint="eastAsia"/>
                <w:b/>
                <w:bCs/>
                <w:szCs w:val="21"/>
              </w:rPr>
              <w:t>满分</w:t>
            </w:r>
            <w:r>
              <w:rPr>
                <w:rFonts w:ascii="宋体" w:cs="宋体"/>
                <w:b/>
                <w:bCs/>
                <w:szCs w:val="21"/>
                <w:lang w:val="en-US" w:eastAsia="zh-CN"/>
              </w:rPr>
              <w:t>3</w:t>
            </w:r>
            <w:r>
              <w:rPr>
                <w:rFonts w:ascii="宋体" w:cs="宋体" w:hint="eastAsia"/>
                <w:b/>
                <w:bCs/>
                <w:szCs w:val="21"/>
              </w:rPr>
              <w:t>0分</w:t>
            </w:r>
            <w:r>
              <w:rPr>
                <w:rFonts w:ascii="宋体" w:cs="宋体" w:hint="eastAsia"/>
                <w:b/>
                <w:bCs/>
              </w:rPr>
              <w:t>）</w:t>
            </w:r>
          </w:p>
          <w:p>
            <w:pPr>
              <w:pStyle w:val="15"/>
              <w:rPr>
                <w:rFonts w:eastAsia="宋体"/>
                <w:lang w:val="en-US" w:eastAsia="zh-CN"/>
              </w:rPr>
            </w:pPr>
          </w:p>
        </w:tc>
        <w:tc>
          <w:tcPr>
            <w:tcW w:w="7401" w:type="dxa"/>
            <w:noWrap/>
            <w:vAlign w:val="center"/>
          </w:tcPr>
          <w:p>
            <w:pPr>
              <w:pStyle w:val="21"/>
              <w:spacing w:before="90" w:line="322" w:lineRule="auto"/>
              <w:ind w:right="92" w:firstLineChars="200" w:firstLine="420"/>
              <w:rPr>
                <w:rFonts w:ascii="宋体" w:cs="宋体"/>
                <w:sz w:val="21"/>
                <w:szCs w:val="21"/>
                <w:lang w:eastAsia="zh-CN"/>
              </w:rPr>
            </w:pPr>
            <w:r>
              <w:rPr>
                <w:rFonts w:ascii="宋体" w:cs="宋体" w:hint="eastAsia"/>
                <w:sz w:val="21"/>
                <w:szCs w:val="21"/>
                <w:lang w:eastAsia="zh-CN"/>
              </w:rPr>
              <w:t>采用低价优先法计算，即满足协商文件要求且最后报价最低的供应商的价格为协商基准价，其价格分</w:t>
            </w:r>
            <w:r>
              <w:rPr>
                <w:rFonts w:ascii="宋体" w:cs="宋体"/>
                <w:sz w:val="21"/>
                <w:szCs w:val="21"/>
                <w:lang w:val="en-US" w:eastAsia="zh-CN"/>
              </w:rPr>
              <w:t>3</w:t>
            </w:r>
            <w:r>
              <w:rPr>
                <w:rFonts w:ascii="宋体" w:cs="宋体" w:hint="eastAsia"/>
                <w:sz w:val="21"/>
                <w:szCs w:val="21"/>
                <w:lang w:val="en-US" w:eastAsia="zh-CN"/>
              </w:rPr>
              <w:t>0</w:t>
            </w:r>
            <w:r>
              <w:rPr>
                <w:rFonts w:ascii="宋体" w:cs="宋体" w:hint="eastAsia"/>
                <w:sz w:val="21"/>
                <w:szCs w:val="21"/>
                <w:lang w:eastAsia="zh-CN"/>
              </w:rPr>
              <w:t>分为满分。其他供应商的价格分统一按照公式计算：</w:t>
            </w:r>
          </w:p>
          <w:p>
            <w:pPr>
              <w:pStyle w:val="21"/>
              <w:spacing w:before="90" w:line="322" w:lineRule="auto"/>
              <w:ind w:right="92" w:firstLineChars="200" w:firstLine="420"/>
              <w:rPr>
                <w:rFonts w:ascii="宋体" w:cs="宋体"/>
                <w:sz w:val="21"/>
                <w:szCs w:val="21"/>
                <w:lang w:eastAsia="zh-CN"/>
              </w:rPr>
            </w:pPr>
            <w:r>
              <w:rPr>
                <w:rFonts w:ascii="宋体" w:cs="宋体" w:hint="eastAsia"/>
                <w:sz w:val="21"/>
                <w:szCs w:val="21"/>
                <w:lang w:eastAsia="zh-CN"/>
              </w:rPr>
              <w:t>项目评审过程中，不得去掉最后报价中的最高报价和最低报价。</w:t>
            </w:r>
          </w:p>
          <w:p>
            <w:pPr>
              <w:pStyle w:val="17"/>
              <w:spacing w:line="360" w:lineRule="auto"/>
              <w:ind w:firstLineChars="200" w:firstLine="420"/>
              <w:rPr>
                <w:rFonts w:cs="宋体"/>
                <w:sz w:val="21"/>
              </w:rPr>
            </w:pPr>
            <w:r>
              <w:rPr>
                <w:rFonts w:cs="宋体" w:hint="eastAsia"/>
                <w:sz w:val="21"/>
              </w:rPr>
              <w:t>在评标过程中，协商小组发现供应商的协商报价明显低于其他供应商的协商报价或者明显低于采购预算价的，有理由怀疑其协商报价可能低于其成本的，应当要求该供应商做出书面说明并提供相关证明材料。供应商不能合理说明或者不能提供相关证明材料的，视作该供应商以低于成本报价响应，其响应文件应作废标处理。</w:t>
            </w:r>
          </w:p>
          <w:p>
            <w:pPr>
              <w:spacing w:line="360" w:lineRule="exact"/>
              <w:rPr>
                <w:rFonts w:ascii="宋体" w:cs="宋体"/>
              </w:rPr>
            </w:pPr>
            <w:r>
              <w:rPr>
                <w:rFonts w:ascii="宋体" w:cs="宋体" w:hint="eastAsia"/>
                <w:b/>
                <w:bCs/>
              </w:rPr>
              <w:t>价格分计算公式：</w:t>
            </w:r>
          </w:p>
          <w:p>
            <w:pPr>
              <w:spacing w:line="360" w:lineRule="exact"/>
              <w:ind w:left="1155" w:firstLineChars="900" w:firstLine="1890"/>
              <w:rPr>
                <w:rFonts w:ascii="宋体" w:cs="宋体"/>
              </w:rPr>
            </w:pPr>
            <w:r>
              <w:rPr>
                <w:rFonts w:ascii="宋体" w:cs="宋体" w:hint="eastAsia"/>
              </w:rPr>
              <w:t>协商基准价(最低价)</w:t>
            </w:r>
          </w:p>
          <w:p>
            <w:pPr>
              <w:spacing w:line="360" w:lineRule="exact"/>
              <w:ind w:firstLineChars="100" w:firstLine="210"/>
              <w:rPr>
                <w:rFonts w:ascii="宋体" w:cs="宋体"/>
              </w:rPr>
            </w:pPr>
            <w:r>
              <w:rPr>
                <w:rFonts w:ascii="宋体" w:cs="宋体" w:hint="eastAsia"/>
              </w:rPr>
              <w:t xml:space="preserve">  某供应商协商报价得分=-------------------------×</w:t>
            </w:r>
            <w:r>
              <w:rPr>
                <w:rFonts w:ascii="宋体" w:cs="宋体"/>
                <w:lang w:val="en-US" w:eastAsia="zh-CN"/>
              </w:rPr>
              <w:t>3</w:t>
            </w:r>
            <w:r>
              <w:rPr>
                <w:rFonts w:ascii="宋体" w:cs="宋体" w:hint="eastAsia"/>
              </w:rPr>
              <w:t>0分</w:t>
            </w:r>
          </w:p>
          <w:p>
            <w:pPr>
              <w:pStyle w:val="4"/>
              <w:rPr>
                <w:rFonts w:ascii="宋体" w:eastAsia="宋体" w:cs="宋体"/>
              </w:rPr>
            </w:pPr>
            <w:r>
              <w:rPr>
                <w:rFonts w:ascii="宋体" w:eastAsia="宋体" w:cs="宋体" w:hint="eastAsia"/>
                <w:sz w:val="21"/>
                <w:szCs w:val="21"/>
              </w:rPr>
              <w:t xml:space="preserve">      最后协商报价</w:t>
            </w:r>
          </w:p>
          <w:p>
            <w:pPr>
              <w:ind w:firstLineChars="100" w:firstLine="210"/>
              <w:rPr>
                <w:rFonts w:ascii="宋体" w:cs="宋体"/>
              </w:rPr>
            </w:pPr>
          </w:p>
        </w:tc>
      </w:tr>
      <w:tr>
        <w:trPr>
          <w:trHeight w:val="2524"/>
        </w:trPr>
        <w:tc>
          <w:tcPr>
            <w:tcW w:w="730" w:type="dxa"/>
            <w:noWrap/>
            <w:vAlign w:val="center"/>
          </w:tcPr>
          <w:p>
            <w:pPr>
              <w:adjustRightInd w:val="0"/>
              <w:spacing w:line="360" w:lineRule="auto"/>
              <w:jc w:val="center"/>
              <w:textAlignment w:val="baseline"/>
              <w:rPr>
                <w:rFonts w:ascii="宋体" w:cs="宋体"/>
                <w:b/>
                <w:szCs w:val="21"/>
              </w:rPr>
            </w:pPr>
            <w:r>
              <w:rPr>
                <w:rFonts w:ascii="宋体" w:cs="宋体" w:hint="eastAsia"/>
                <w:b/>
                <w:szCs w:val="21"/>
              </w:rPr>
              <w:t>2</w:t>
            </w:r>
          </w:p>
        </w:tc>
        <w:tc>
          <w:tcPr>
            <w:tcW w:w="1604" w:type="dxa"/>
            <w:noWrap/>
            <w:vAlign w:val="center"/>
          </w:tcPr>
          <w:p>
            <w:pPr>
              <w:adjustRightInd w:val="0"/>
              <w:spacing w:line="360" w:lineRule="auto"/>
              <w:jc w:val="center"/>
              <w:textAlignment w:val="baseline"/>
              <w:rPr>
                <w:rFonts w:ascii="宋体" w:cs="宋体"/>
                <w:b/>
                <w:szCs w:val="21"/>
              </w:rPr>
            </w:pPr>
            <w:r>
              <w:rPr>
                <w:rFonts w:ascii="宋体" w:cs="宋体" w:hint="eastAsia"/>
                <w:b/>
                <w:szCs w:val="21"/>
              </w:rPr>
              <w:t>综合能力</w:t>
            </w:r>
          </w:p>
          <w:p>
            <w:pPr>
              <w:adjustRightInd w:val="0"/>
              <w:spacing w:line="360" w:lineRule="auto"/>
              <w:jc w:val="center"/>
              <w:textAlignment w:val="baseline"/>
              <w:rPr>
                <w:rFonts w:ascii="宋体" w:cs="宋体"/>
                <w:b/>
                <w:szCs w:val="21"/>
                <w:highlight w:val="yellow"/>
              </w:rPr>
            </w:pPr>
            <w:r>
              <w:rPr>
                <w:rFonts w:ascii="宋体" w:cs="宋体" w:hint="eastAsia"/>
                <w:b/>
                <w:szCs w:val="21"/>
              </w:rPr>
              <w:t>（满分</w:t>
            </w:r>
            <w:r>
              <w:rPr>
                <w:rFonts w:ascii="宋体" w:cs="宋体"/>
                <w:b/>
                <w:szCs w:val="21"/>
              </w:rPr>
              <w:t>3</w:t>
            </w:r>
            <w:r>
              <w:rPr>
                <w:rFonts w:ascii="宋体" w:cs="宋体" w:hint="eastAsia"/>
                <w:b/>
                <w:szCs w:val="21"/>
              </w:rPr>
              <w:t>0分）</w:t>
            </w:r>
          </w:p>
        </w:tc>
        <w:tc>
          <w:tcPr>
            <w:tcW w:w="7401" w:type="dxa"/>
            <w:noWrap/>
          </w:tcPr>
          <w:p>
            <w:pPr>
              <w:snapToGrid w:val="0"/>
              <w:spacing w:line="360" w:lineRule="exact"/>
              <w:ind w:left="420"/>
              <w:jc w:val="left"/>
              <w:rPr>
                <w:rFonts w:ascii="宋体" w:eastAsia="宋体" w:cs="宋体" w:hint="eastAsia"/>
                <w:b/>
                <w:szCs w:val="21"/>
              </w:rPr>
            </w:pPr>
            <w:r>
              <w:rPr>
                <w:rFonts w:ascii="宋体" w:eastAsia="宋体" w:cs="宋体"/>
                <w:b/>
                <w:szCs w:val="21"/>
                <w:lang w:val="en-US"/>
              </w:rPr>
              <w:t>1.</w:t>
            </w:r>
            <w:r>
              <w:rPr>
                <w:rFonts w:ascii="宋体" w:eastAsia="宋体" w:cs="宋体" w:hint="eastAsia"/>
                <w:b/>
                <w:szCs w:val="21"/>
              </w:rPr>
              <w:t>公司资质证书（共</w:t>
            </w:r>
            <w:r>
              <w:rPr>
                <w:rFonts w:ascii="宋体" w:eastAsia="宋体" w:cs="宋体" w:hint="eastAsia"/>
                <w:b/>
                <w:szCs w:val="21"/>
                <w:lang w:val="en-US" w:eastAsia="zh-CN"/>
              </w:rPr>
              <w:t>10</w:t>
            </w:r>
            <w:r>
              <w:rPr>
                <w:rFonts w:ascii="宋体" w:eastAsia="宋体" w:cs="宋体" w:hint="eastAsia"/>
                <w:b/>
                <w:szCs w:val="21"/>
              </w:rPr>
              <w:t xml:space="preserve"> 分） </w:t>
            </w:r>
          </w:p>
          <w:p>
            <w:pPr>
              <w:snapToGrid w:val="0"/>
              <w:spacing w:line="360" w:lineRule="exact"/>
              <w:ind w:firstLineChars="200" w:firstLine="420"/>
              <w:jc w:val="left"/>
              <w:rPr>
                <w:rFonts w:ascii="宋体" w:eastAsia="宋体" w:cs="宋体"/>
                <w:szCs w:val="21"/>
              </w:rPr>
            </w:pPr>
            <w:r>
              <w:rPr>
                <w:rFonts w:ascii="宋体" w:eastAsia="宋体" w:cs="宋体" w:hint="eastAsia"/>
                <w:szCs w:val="21"/>
              </w:rPr>
              <w:t>通过核对公司提供的证书验证（证书须在有效期内），最高得</w:t>
            </w:r>
            <w:r>
              <w:rPr>
                <w:rFonts w:ascii="宋体" w:eastAsia="宋体" w:cs="宋体"/>
                <w:szCs w:val="21"/>
              </w:rPr>
              <w:t>1</w:t>
            </w:r>
            <w:r>
              <w:rPr>
                <w:rFonts w:ascii="宋体" w:eastAsia="宋体" w:cs="宋体" w:hint="eastAsia"/>
                <w:szCs w:val="21"/>
                <w:lang w:val="en-US" w:eastAsia="zh-CN"/>
              </w:rPr>
              <w:t>0</w:t>
            </w:r>
            <w:r>
              <w:rPr>
                <w:rFonts w:ascii="宋体" w:eastAsia="宋体" w:cs="宋体" w:hint="eastAsia"/>
                <w:szCs w:val="21"/>
              </w:rPr>
              <w:t xml:space="preserve">分。 </w:t>
            </w:r>
          </w:p>
          <w:p>
            <w:pPr>
              <w:snapToGrid w:val="0"/>
              <w:spacing w:line="360" w:lineRule="exact"/>
              <w:ind w:firstLineChars="200" w:firstLine="420"/>
              <w:jc w:val="left"/>
              <w:rPr>
                <w:rFonts w:ascii="宋体" w:eastAsia="宋体" w:cs="宋体" w:hint="eastAsia"/>
                <w:szCs w:val="21"/>
                <w:lang w:val="en-US" w:eastAsia="zh-CN"/>
              </w:rPr>
            </w:pPr>
            <w:r>
              <w:rPr>
                <w:rFonts w:ascii="宋体" w:eastAsia="宋体" w:cs="宋体" w:hint="eastAsia"/>
                <w:szCs w:val="21"/>
              </w:rPr>
              <w:t>（1）具备信息技术服务管理体系证书，得</w:t>
            </w:r>
            <w:r>
              <w:rPr>
                <w:rFonts w:ascii="宋体" w:eastAsia="宋体" w:cs="宋体" w:hint="eastAsia"/>
                <w:szCs w:val="21"/>
                <w:lang w:val="en-US" w:eastAsia="zh-CN"/>
              </w:rPr>
              <w:t>3</w:t>
            </w:r>
            <w:r>
              <w:rPr>
                <w:rFonts w:ascii="宋体" w:eastAsia="宋体" w:cs="宋体" w:hint="eastAsia"/>
                <w:szCs w:val="21"/>
              </w:rPr>
              <w:t>分；</w:t>
            </w:r>
          </w:p>
          <w:p>
            <w:pPr>
              <w:snapToGrid w:val="0"/>
              <w:spacing w:line="360" w:lineRule="exact"/>
              <w:ind w:firstLineChars="200" w:firstLine="420"/>
              <w:jc w:val="left"/>
              <w:rPr>
                <w:rFonts w:ascii="宋体" w:eastAsia="宋体" w:cs="宋体" w:hint="eastAsia"/>
                <w:szCs w:val="21"/>
                <w:lang w:val="en-US" w:eastAsia="zh-CN"/>
              </w:rPr>
            </w:pPr>
            <w:r>
              <w:rPr>
                <w:rFonts w:ascii="宋体" w:eastAsia="宋体" w:cs="宋体" w:hint="eastAsia"/>
                <w:szCs w:val="21"/>
              </w:rPr>
              <w:t>（2）具有信息安全管理体系认证证书，得</w:t>
            </w:r>
            <w:r>
              <w:rPr>
                <w:rFonts w:ascii="宋体" w:eastAsia="宋体" w:cs="宋体" w:hint="eastAsia"/>
                <w:szCs w:val="21"/>
                <w:lang w:val="en-US" w:eastAsia="zh-CN"/>
              </w:rPr>
              <w:t>3</w:t>
            </w:r>
            <w:r>
              <w:rPr>
                <w:rFonts w:ascii="宋体" w:eastAsia="宋体" w:cs="宋体" w:hint="eastAsia"/>
                <w:szCs w:val="21"/>
              </w:rPr>
              <w:t>分；</w:t>
            </w:r>
          </w:p>
          <w:p>
            <w:pPr>
              <w:pStyle w:val="15"/>
              <w:jc w:val="left"/>
              <w:rPr>
                <w:rFonts w:ascii="宋体" w:eastAsia="宋体" w:cs="宋体" w:hint="eastAsia"/>
                <w:szCs w:val="21"/>
                <w:lang w:val="en-US" w:eastAsia="zh-CN"/>
              </w:rPr>
            </w:pPr>
            <w:r>
              <w:rPr>
                <w:rFonts w:ascii="宋体" w:eastAsia="宋体" w:cs="宋体" w:hint="eastAsia"/>
                <w:szCs w:val="21"/>
              </w:rPr>
              <w:t>（3）具备信息系统运行维护能力证书，得</w:t>
            </w:r>
            <w:r>
              <w:rPr>
                <w:rFonts w:ascii="宋体" w:eastAsia="宋体" w:cs="宋体" w:hint="eastAsia"/>
                <w:szCs w:val="21"/>
                <w:lang w:val="en-US" w:eastAsia="zh-CN"/>
              </w:rPr>
              <w:t>4</w:t>
            </w:r>
            <w:r>
              <w:rPr>
                <w:rFonts w:ascii="宋体" w:eastAsia="宋体" w:cs="宋体" w:hint="eastAsia"/>
                <w:szCs w:val="21"/>
              </w:rPr>
              <w:t>分；</w:t>
            </w:r>
          </w:p>
          <w:p>
            <w:pPr>
              <w:pStyle w:val="15"/>
              <w:ind w:firstLine="0"/>
              <w:jc w:val="left"/>
              <w:rPr>
                <w:rFonts w:ascii="宋体" w:eastAsia="宋体" w:cs="宋体"/>
                <w:b/>
                <w:szCs w:val="21"/>
                <w:lang w:val="en-US" w:eastAsia="zh-CN"/>
              </w:rPr>
            </w:pPr>
            <w:r>
              <w:rPr>
                <w:rFonts w:ascii="宋体" w:cs="宋体" w:hint="eastAsia"/>
                <w:szCs w:val="21"/>
              </w:rPr>
              <w:t xml:space="preserve">     </w:t>
            </w:r>
            <w:r>
              <w:rPr>
                <w:rFonts w:ascii="宋体" w:cs="宋体"/>
                <w:b/>
                <w:szCs w:val="21"/>
              </w:rPr>
              <w:t>2</w:t>
            </w:r>
            <w:r>
              <w:rPr>
                <w:rFonts w:ascii="宋体" w:cs="宋体" w:hint="eastAsia"/>
                <w:b/>
                <w:szCs w:val="21"/>
              </w:rPr>
              <w:t>.</w:t>
            </w:r>
            <w:r>
              <w:rPr>
                <w:rFonts w:ascii="宋体" w:cs="宋体" w:hint="eastAsia"/>
                <w:b/>
                <w:szCs w:val="21"/>
                <w:lang w:eastAsia="zh-CN"/>
              </w:rPr>
              <w:t>公司类似项目实施案例</w:t>
            </w:r>
            <w:r>
              <w:rPr>
                <w:rFonts w:ascii="宋体" w:cs="宋体" w:hint="eastAsia"/>
                <w:b/>
                <w:szCs w:val="21"/>
              </w:rPr>
              <w:t>（共</w:t>
            </w:r>
            <w:r>
              <w:rPr>
                <w:rFonts w:ascii="宋体" w:cs="宋体" w:hint="eastAsia"/>
                <w:b/>
                <w:szCs w:val="21"/>
                <w:lang w:val="en-US" w:eastAsia="zh-CN"/>
              </w:rPr>
              <w:t>20</w:t>
            </w:r>
            <w:r>
              <w:rPr>
                <w:rFonts w:ascii="宋体" w:cs="宋体" w:hint="eastAsia"/>
                <w:b/>
                <w:szCs w:val="21"/>
              </w:rPr>
              <w:t>分）</w:t>
            </w:r>
          </w:p>
          <w:p>
            <w:pPr>
              <w:pStyle w:val="15"/>
              <w:ind w:firstLine="0"/>
              <w:jc w:val="left"/>
              <w:rPr>
                <w:rFonts w:eastAsia="宋体" w:cs="宋体"/>
                <w:szCs w:val="21"/>
                <w:lang w:val="en-US" w:eastAsia="zh-CN"/>
              </w:rPr>
            </w:pPr>
            <w:r>
              <w:rPr>
                <w:rFonts w:ascii="宋体" w:cs="宋体" w:hint="eastAsia"/>
                <w:szCs w:val="21"/>
              </w:rPr>
              <w:t xml:space="preserve">     </w:t>
            </w:r>
            <w:r>
              <w:rPr>
                <w:rFonts w:cs="宋体" w:hint="eastAsia"/>
                <w:szCs w:val="21"/>
                <w:lang w:val="en-US" w:eastAsia="zh-CN"/>
              </w:rPr>
              <w:t>2024年以来，公司类似</w:t>
            </w:r>
            <w:r>
              <w:rPr>
                <w:rFonts w:cs="宋体" w:hint="eastAsia"/>
                <w:szCs w:val="21"/>
                <w:lang w:eastAsia="zh-CN"/>
              </w:rPr>
              <w:t>实施案例每一个得</w:t>
            </w:r>
            <w:r>
              <w:rPr>
                <w:rFonts w:cs="宋体" w:hint="eastAsia"/>
                <w:szCs w:val="21"/>
                <w:lang w:val="en-US" w:eastAsia="zh-CN"/>
              </w:rPr>
              <w:t>5分，最高得20分。</w:t>
            </w:r>
          </w:p>
        </w:tc>
      </w:tr>
      <w:tr>
        <w:trPr>
          <w:trHeight w:val="1060"/>
        </w:trPr>
        <w:tc>
          <w:tcPr>
            <w:tcW w:w="730" w:type="dxa"/>
            <w:noWrap/>
            <w:vAlign w:val="center"/>
          </w:tcPr>
          <w:p>
            <w:pPr>
              <w:adjustRightInd w:val="0"/>
              <w:spacing w:line="360" w:lineRule="auto"/>
              <w:jc w:val="center"/>
              <w:textAlignment w:val="baseline"/>
              <w:rPr>
                <w:rFonts w:ascii="宋体" w:cs="宋体"/>
                <w:b/>
                <w:szCs w:val="21"/>
              </w:rPr>
            </w:pPr>
            <w:r>
              <w:rPr>
                <w:rFonts w:ascii="宋体" w:cs="宋体" w:hint="eastAsia"/>
                <w:b/>
                <w:szCs w:val="21"/>
              </w:rPr>
              <w:t>3</w:t>
            </w:r>
          </w:p>
        </w:tc>
        <w:tc>
          <w:tcPr>
            <w:tcW w:w="1604" w:type="dxa"/>
            <w:noWrap/>
            <w:vAlign w:val="center"/>
          </w:tcPr>
          <w:p>
            <w:pPr>
              <w:adjustRightInd w:val="0"/>
              <w:spacing w:line="360" w:lineRule="auto"/>
              <w:jc w:val="center"/>
              <w:textAlignment w:val="baseline"/>
              <w:rPr>
                <w:b/>
                <w:bCs/>
              </w:rPr>
            </w:pPr>
            <w:r>
              <w:rPr>
                <w:rFonts w:hint="eastAsia"/>
                <w:b/>
                <w:bCs/>
              </w:rPr>
              <w:t>服务方案</w:t>
            </w:r>
          </w:p>
          <w:p>
            <w:pPr>
              <w:pStyle w:val="15"/>
              <w:ind w:firstLine="0"/>
              <w:rPr>
                <w:b/>
                <w:bCs/>
              </w:rPr>
            </w:pPr>
            <w:r>
              <w:rPr>
                <w:rFonts w:hint="eastAsia"/>
                <w:b/>
                <w:bCs/>
              </w:rPr>
              <w:t>（满分</w:t>
            </w:r>
            <w:r>
              <w:rPr>
                <w:b/>
                <w:bCs/>
                <w:lang w:val="en-US" w:eastAsia="zh-CN"/>
              </w:rPr>
              <w:t>2</w:t>
            </w:r>
            <w:r>
              <w:rPr>
                <w:rFonts w:hint="eastAsia"/>
                <w:b/>
                <w:bCs/>
                <w:lang w:val="en-US" w:eastAsia="zh-CN"/>
              </w:rPr>
              <w:t>0</w:t>
            </w:r>
            <w:r>
              <w:rPr>
                <w:rFonts w:hint="eastAsia"/>
                <w:b/>
                <w:bCs/>
              </w:rPr>
              <w:t>分）</w:t>
            </w:r>
          </w:p>
        </w:tc>
        <w:tc>
          <w:tcPr>
            <w:tcW w:w="7401" w:type="dxa"/>
            <w:noWrap/>
            <w:vAlign w:val="center"/>
          </w:tcPr>
          <w:p>
            <w:pPr>
              <w:snapToGrid w:val="0"/>
              <w:spacing w:line="360" w:lineRule="exact"/>
              <w:ind w:firstLineChars="200" w:firstLine="420"/>
              <w:jc w:val="left"/>
              <w:rPr>
                <w:rFonts w:ascii="宋体" w:eastAsia="宋体" w:cs="宋体"/>
              </w:rPr>
            </w:pPr>
            <w:r>
              <w:rPr>
                <w:rFonts w:ascii="宋体" w:eastAsia="宋体" w:cs="宋体" w:hint="eastAsia"/>
                <w:lang w:eastAsia="zh-CN"/>
              </w:rPr>
              <w:t>未提供方案不得分</w:t>
            </w:r>
            <w:r>
              <w:rPr>
                <w:rFonts w:ascii="宋体" w:eastAsia="宋体" w:cs="宋体" w:hint="eastAsia"/>
              </w:rPr>
              <w:t>，</w:t>
            </w:r>
            <w:r>
              <w:rPr>
                <w:rFonts w:ascii="宋体" w:eastAsia="宋体" w:cs="宋体" w:hint="eastAsia"/>
                <w:lang w:eastAsia="zh-CN"/>
              </w:rPr>
              <w:t>提供方案的供应商</w:t>
            </w:r>
            <w:r>
              <w:rPr>
                <w:rFonts w:ascii="宋体" w:eastAsia="宋体" w:cs="宋体" w:hint="eastAsia"/>
              </w:rPr>
              <w:t>分</w:t>
            </w:r>
            <w:r>
              <w:rPr>
                <w:rFonts w:ascii="宋体" w:eastAsia="宋体" w:cs="宋体" w:hint="eastAsia"/>
                <w:lang w:val="en-US" w:eastAsia="zh-CN"/>
              </w:rPr>
              <w:t>3</w:t>
            </w:r>
            <w:r>
              <w:rPr>
                <w:rFonts w:ascii="宋体" w:eastAsia="宋体" w:cs="宋体" w:hint="eastAsia"/>
              </w:rPr>
              <w:t>档，</w:t>
            </w:r>
            <w:r>
              <w:rPr>
                <w:rFonts w:ascii="宋体" w:eastAsia="宋体" w:cs="宋体" w:hint="eastAsia"/>
                <w:lang w:eastAsia="zh-CN"/>
              </w:rPr>
              <w:t>根据提供的</w:t>
            </w:r>
            <w:r>
              <w:rPr>
                <w:rFonts w:ascii="Times New Roman" w:hAnsi="Times New Roman"/>
              </w:rPr>
              <w:t>“</w:t>
            </w:r>
            <w:r>
              <w:t>项目施工实施方案</w:t>
            </w:r>
            <w:r>
              <w:rPr>
                <w:rFonts w:ascii="Times New Roman" w:hAnsi="Times New Roman"/>
              </w:rPr>
              <w:t>”</w:t>
            </w:r>
            <w:r>
              <w:rPr>
                <w:rFonts w:ascii="宋体" w:eastAsia="宋体" w:cs="宋体" w:hint="eastAsia"/>
                <w:lang w:eastAsia="zh-CN"/>
              </w:rPr>
              <w:t>质量分别得</w:t>
            </w:r>
            <w:r>
              <w:rPr>
                <w:rFonts w:ascii="宋体" w:eastAsia="宋体" w:cs="宋体" w:hint="eastAsia"/>
                <w:lang w:val="en-US" w:eastAsia="zh-CN"/>
              </w:rPr>
              <w:t>10分、15分、20分</w:t>
            </w:r>
            <w:r>
              <w:rPr>
                <w:rFonts w:ascii="宋体" w:eastAsia="宋体" w:cs="宋体" w:hint="eastAsia"/>
              </w:rPr>
              <w:t>。</w:t>
            </w:r>
          </w:p>
          <w:p>
            <w:pPr>
              <w:pStyle w:val="17"/>
              <w:spacing w:line="380" w:lineRule="atLeast"/>
              <w:ind w:firstLineChars="200" w:firstLine="400"/>
              <w:rPr>
                <w:rFonts w:ascii="Times New Roman" w:hAnsi="Times New Roman"/>
              </w:rPr>
            </w:pPr>
            <w:r>
              <w:t>根据各投标人提供的</w:t>
            </w:r>
            <w:r>
              <w:rPr>
                <w:rFonts w:ascii="Times New Roman" w:hAnsi="Times New Roman"/>
              </w:rPr>
              <w:t xml:space="preserve"> “</w:t>
            </w:r>
            <w:r>
              <w:t>项目施工实施方案</w:t>
            </w:r>
            <w:r>
              <w:rPr>
                <w:rFonts w:ascii="Times New Roman" w:hAnsi="Times New Roman"/>
              </w:rPr>
              <w:t>”</w:t>
            </w:r>
            <w:r>
              <w:t>内容的完整性、科学性、可行性、合理性，集体讨论确定投标人</w:t>
            </w:r>
            <w:r>
              <w:rPr>
                <w:rFonts w:ascii="Times New Roman" w:hAnsi="Times New Roman"/>
              </w:rPr>
              <w:t>“</w:t>
            </w:r>
            <w:r>
              <w:t>一档、二档、三档</w:t>
            </w:r>
            <w:r>
              <w:rPr>
                <w:rFonts w:ascii="Times New Roman" w:hAnsi="Times New Roman"/>
              </w:rPr>
              <w:t>”</w:t>
            </w:r>
            <w:r>
              <w:t>各所属档次</w:t>
            </w:r>
            <w:r>
              <w:rPr>
                <w:rFonts w:hint="eastAsia"/>
                <w:lang w:eastAsia="zh-CN"/>
              </w:rPr>
              <w:t>、得分并</w:t>
            </w:r>
            <w:r>
              <w:t>形成书面材料。</w:t>
            </w:r>
          </w:p>
          <w:p>
            <w:pPr>
              <w:pStyle w:val="17"/>
              <w:spacing w:line="380" w:lineRule="atLeast"/>
              <w:ind w:firstLineChars="200" w:firstLine="400"/>
              <w:rPr>
                <w:rFonts w:ascii="Times New Roman" w:hAnsi="Times New Roman"/>
              </w:rPr>
            </w:pPr>
            <w:r>
              <w:t>一档</w:t>
            </w:r>
            <w:r>
              <w:rPr>
                <w:rFonts w:hint="eastAsia"/>
              </w:rPr>
              <w:t>（</w:t>
            </w:r>
            <w:r>
              <w:rPr>
                <w:rFonts w:ascii="Times New Roman" w:hAnsi="Times New Roman"/>
              </w:rPr>
              <w:t>1</w:t>
            </w:r>
            <w:r>
              <w:rPr>
                <w:rFonts w:hint="eastAsia"/>
                <w:lang w:val="en-US" w:eastAsia="zh-CN"/>
              </w:rPr>
              <w:t>0</w:t>
            </w:r>
            <w:r>
              <w:t>分</w:t>
            </w:r>
            <w:r>
              <w:rPr>
                <w:rFonts w:hint="eastAsia"/>
              </w:rPr>
              <w:t>）</w:t>
            </w:r>
            <w:r>
              <w:t>：提供了项目施工实施方案，且方案基本满足项目要求；</w:t>
            </w:r>
          </w:p>
          <w:p>
            <w:pPr>
              <w:pStyle w:val="17"/>
              <w:spacing w:line="380" w:lineRule="atLeast"/>
              <w:ind w:leftChars="200" w:left="420"/>
              <w:rPr>
                <w:rFonts w:ascii="Times New Roman" w:hAnsi="Times New Roman"/>
              </w:rPr>
            </w:pPr>
            <w:r>
              <w:t>二档</w:t>
            </w:r>
            <w:r>
              <w:rPr>
                <w:rFonts w:hint="eastAsia"/>
              </w:rPr>
              <w:t>（</w:t>
            </w:r>
            <w:r>
              <w:rPr>
                <w:rFonts w:ascii="Times New Roman" w:hAnsi="Times New Roman"/>
                <w:lang w:val="en-US" w:eastAsia="zh-CN"/>
              </w:rPr>
              <w:t>15</w:t>
            </w:r>
            <w:r>
              <w:t>分</w:t>
            </w:r>
            <w:r>
              <w:rPr>
                <w:rFonts w:hint="eastAsia"/>
              </w:rPr>
              <w:t>）</w:t>
            </w:r>
            <w:r>
              <w:t>：</w:t>
            </w:r>
            <w:r>
              <w:rPr>
                <w:spacing w:val="-4"/>
              </w:rPr>
              <w:t>提供了</w:t>
            </w:r>
            <w:r>
              <w:t>项目施工实施方案</w:t>
            </w:r>
            <w:r>
              <w:rPr>
                <w:spacing w:val="-4"/>
              </w:rPr>
              <w:t>，且方案较全面满足项目要求</w:t>
            </w:r>
            <w:r>
              <w:t>；</w:t>
            </w:r>
          </w:p>
          <w:p>
            <w:pPr>
              <w:pStyle w:val="17"/>
              <w:spacing w:line="380" w:lineRule="atLeast"/>
              <w:ind w:leftChars="200" w:left="420"/>
            </w:pPr>
            <w:r>
              <w:t>三档</w:t>
            </w:r>
            <w:r>
              <w:rPr>
                <w:rFonts w:hint="eastAsia"/>
              </w:rPr>
              <w:t>（</w:t>
            </w:r>
            <w:r>
              <w:rPr>
                <w:rFonts w:hint="eastAsia"/>
                <w:lang w:val="en-US" w:eastAsia="zh-CN"/>
              </w:rPr>
              <w:t>20</w:t>
            </w:r>
            <w:r>
              <w:t>分</w:t>
            </w:r>
            <w:r>
              <w:rPr>
                <w:rFonts w:hint="eastAsia"/>
              </w:rPr>
              <w:t>）</w:t>
            </w:r>
            <w:r>
              <w:t>：</w:t>
            </w:r>
            <w:r>
              <w:rPr>
                <w:spacing w:val="-4"/>
              </w:rPr>
              <w:t>提供了</w:t>
            </w:r>
            <w:r>
              <w:t>项目施工实施方案</w:t>
            </w:r>
            <w:r>
              <w:rPr>
                <w:spacing w:val="-4"/>
              </w:rPr>
              <w:t>，且方案可行，具有一定的先进性，符合项目实际情况</w:t>
            </w:r>
            <w:r>
              <w:t>，措施具体实用</w:t>
            </w:r>
            <w:r>
              <w:rPr>
                <w:rFonts w:hint="eastAsia"/>
              </w:rPr>
              <w:t>，设计方案的科学合理性</w:t>
            </w:r>
            <w:r>
              <w:rPr>
                <w:rFonts w:hint="eastAsia"/>
                <w:lang w:eastAsia="zh-CN"/>
              </w:rPr>
              <w:t>，运维时效性强，安全保护等级高</w:t>
            </w:r>
            <w:r>
              <w:rPr>
                <w:rFonts w:hint="eastAsia"/>
              </w:rPr>
              <w:t>。</w:t>
            </w:r>
          </w:p>
        </w:tc>
      </w:tr>
      <w:tr>
        <w:trPr>
          <w:trHeight w:val="720"/>
        </w:trPr>
        <w:tc>
          <w:tcPr>
            <w:tcW w:w="730" w:type="dxa"/>
            <w:noWrap/>
            <w:vAlign w:val="center"/>
          </w:tcPr>
          <w:p>
            <w:pPr>
              <w:adjustRightInd w:val="0"/>
              <w:spacing w:line="360" w:lineRule="auto"/>
              <w:jc w:val="center"/>
              <w:textAlignment w:val="baseline"/>
              <w:rPr>
                <w:rFonts w:ascii="宋体" w:cs="宋体"/>
                <w:b/>
                <w:szCs w:val="21"/>
              </w:rPr>
            </w:pPr>
            <w:r>
              <w:rPr>
                <w:rFonts w:ascii="宋体" w:cs="宋体" w:hint="eastAsia"/>
                <w:b/>
                <w:szCs w:val="21"/>
              </w:rPr>
              <w:t>4</w:t>
            </w:r>
          </w:p>
        </w:tc>
        <w:tc>
          <w:tcPr>
            <w:tcW w:w="1604" w:type="dxa"/>
            <w:noWrap/>
            <w:vAlign w:val="center"/>
          </w:tcPr>
          <w:p>
            <w:pPr>
              <w:tabs>
                <w:tab w:val="left" w:pos="425"/>
              </w:tabs>
              <w:spacing w:beforeLines="10" w:before="31" w:afterLines="10" w:after="31"/>
              <w:ind w:rightChars="10" w:right="21"/>
              <w:jc w:val="center"/>
              <w:rPr>
                <w:b/>
                <w:szCs w:val="21"/>
              </w:rPr>
            </w:pPr>
            <w:r>
              <w:rPr>
                <w:rFonts w:hint="eastAsia"/>
                <w:b/>
                <w:szCs w:val="21"/>
              </w:rPr>
              <w:t>人员资质</w:t>
            </w:r>
          </w:p>
          <w:p>
            <w:pPr>
              <w:adjustRightInd w:val="0"/>
              <w:spacing w:line="360" w:lineRule="auto"/>
              <w:jc w:val="center"/>
              <w:textAlignment w:val="baseline"/>
              <w:rPr>
                <w:rFonts w:ascii="宋体" w:cs="宋体"/>
                <w:b/>
                <w:bCs/>
                <w:szCs w:val="21"/>
              </w:rPr>
            </w:pPr>
            <w:r>
              <w:rPr>
                <w:rFonts w:hint="eastAsia"/>
                <w:b/>
                <w:szCs w:val="21"/>
              </w:rPr>
              <w:t>（满分</w:t>
            </w:r>
            <w:r>
              <w:rPr>
                <w:rFonts w:hint="eastAsia"/>
                <w:b/>
                <w:szCs w:val="21"/>
                <w:lang w:val="en-US" w:eastAsia="zh-CN"/>
              </w:rPr>
              <w:t>20</w:t>
            </w:r>
            <w:r>
              <w:rPr>
                <w:rFonts w:hint="eastAsia"/>
                <w:b/>
                <w:szCs w:val="21"/>
              </w:rPr>
              <w:t>分）</w:t>
            </w:r>
          </w:p>
        </w:tc>
        <w:tc>
          <w:tcPr>
            <w:tcW w:w="7401" w:type="dxa"/>
            <w:noWrap/>
            <w:vAlign w:val="center"/>
          </w:tcPr>
          <w:p>
            <w:pPr>
              <w:pStyle w:val="23"/>
              <w:snapToGrid w:val="0"/>
              <w:spacing w:line="360" w:lineRule="exact"/>
              <w:ind w:firstLineChars="0" w:firstLine="0"/>
              <w:jc w:val="left"/>
              <w:rPr>
                <w:rFonts w:ascii="宋体" w:hint="eastAsia"/>
                <w:bCs/>
                <w:szCs w:val="21"/>
              </w:rPr>
            </w:pPr>
            <w:r>
              <w:rPr>
                <w:rFonts w:ascii="宋体" w:hint="eastAsia"/>
                <w:bCs/>
                <w:szCs w:val="21"/>
              </w:rPr>
              <w:t xml:space="preserve">    供应商项目拟</w:t>
            </w:r>
            <w:r>
              <w:rPr>
                <w:rFonts w:ascii="宋体" w:hint="eastAsia"/>
                <w:bCs/>
                <w:szCs w:val="21"/>
                <w:lang w:eastAsia="zh-CN"/>
              </w:rPr>
              <w:t>定</w:t>
            </w:r>
            <w:r>
              <w:rPr>
                <w:rFonts w:ascii="宋体" w:hint="eastAsia"/>
                <w:bCs/>
                <w:szCs w:val="21"/>
              </w:rPr>
              <w:t>开发团队具备项目开发等相关专业工程师职称并提供职称证书，每提供一人职称证书得5分，最高</w:t>
            </w:r>
            <w:r>
              <w:rPr>
                <w:rFonts w:ascii="宋体" w:hint="eastAsia"/>
                <w:bCs/>
                <w:szCs w:val="21"/>
                <w:lang w:val="en-US" w:eastAsia="zh-CN"/>
              </w:rPr>
              <w:t>20</w:t>
            </w:r>
            <w:r>
              <w:rPr>
                <w:rFonts w:ascii="宋体" w:hint="eastAsia"/>
                <w:bCs/>
                <w:szCs w:val="21"/>
              </w:rPr>
              <w:t xml:space="preserve">分。   </w:t>
            </w:r>
          </w:p>
        </w:tc>
      </w:tr>
      <w:tr>
        <w:tc>
          <w:tcPr>
            <w:tcW w:w="9735" w:type="dxa"/>
            <w:gridSpan w:val="3"/>
            <w:noWrap/>
            <w:vAlign w:val="center"/>
          </w:tcPr>
          <w:p>
            <w:pPr>
              <w:pStyle w:val="17"/>
              <w:spacing w:line="360" w:lineRule="auto"/>
              <w:ind w:firstLine="420"/>
              <w:rPr>
                <w:rFonts w:cs="宋体"/>
                <w:bCs/>
                <w:kern w:val="2"/>
                <w:sz w:val="21"/>
              </w:rPr>
            </w:pPr>
            <w:r>
              <w:rPr>
                <w:rFonts w:cs="宋体" w:hint="eastAsia"/>
                <w:b/>
                <w:bCs/>
                <w:kern w:val="2"/>
                <w:sz w:val="21"/>
              </w:rPr>
              <w:t>总得分=1+2+3+4。</w:t>
            </w:r>
          </w:p>
        </w:tc>
      </w:tr>
    </w:tbl>
    <w:tbl>
      <w:tblPr>
        <w:tblpPr w:leftFromText="180" w:rightFromText="180" w:vertAnchor="text" w:tblpX="10214" w:tblpY="-15422"/>
        <w:tblOverlap w:val="never"/>
        <w:tblW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4"/>
      </w:tblGrid>
      <w:tr>
        <w:trPr>
          <w:trHeight w:val="30"/>
        </w:trPr>
        <w:tc>
          <w:tcPr>
            <w:tcW w:w="1104" w:type="dxa"/>
          </w:tcPr>
          <w:p>
            <w:pPr>
              <w:pStyle w:val="16"/>
              <w:rPr>
                <w:rFonts w:ascii="宋体" w:cs="宋体"/>
                <w:bCs/>
                <w:szCs w:val="21"/>
              </w:rPr>
            </w:pPr>
          </w:p>
        </w:tc>
      </w:tr>
    </w:tbl>
    <w:tbl>
      <w:tblPr>
        <w:tblpPr w:leftFromText="180" w:rightFromText="180" w:vertAnchor="text" w:tblpX="10214" w:tblpY="-15559"/>
        <w:tblOverlap w:val="nev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00"/>
      </w:tblGrid>
      <w:tr>
        <w:trPr>
          <w:trHeight w:val="30"/>
        </w:trPr>
        <w:tc>
          <w:tcPr>
            <w:tcW w:w="1500" w:type="dxa"/>
          </w:tcPr>
          <w:p>
            <w:pPr>
              <w:pStyle w:val="16"/>
              <w:rPr>
                <w:rFonts w:ascii="宋体" w:cs="宋体"/>
                <w:bCs/>
                <w:szCs w:val="21"/>
              </w:rPr>
            </w:pPr>
          </w:p>
        </w:tc>
      </w:tr>
      <w:tr>
        <w:trPr>
          <w:trHeight w:val="30"/>
        </w:trPr>
        <w:tc>
          <w:tcPr>
            <w:tcW w:w="1500" w:type="dxa"/>
          </w:tcPr>
          <w:p>
            <w:pPr>
              <w:pStyle w:val="16"/>
              <w:rPr>
                <w:rFonts w:ascii="宋体" w:cs="宋体"/>
                <w:bCs/>
                <w:szCs w:val="21"/>
              </w:rPr>
            </w:pPr>
          </w:p>
        </w:tc>
      </w:tr>
    </w:tbl>
    <w:p>
      <w:pPr>
        <w:pStyle w:val="16"/>
        <w:rPr>
          <w:rFonts w:ascii="宋体" w:cs="宋体"/>
          <w:bCs/>
          <w:szCs w:val="21"/>
        </w:rPr>
      </w:pPr>
    </w:p>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roman"/>
    <w:pitch w:val="variable"/>
    <w:sig w:usb0="20007A87" w:usb1="80000000" w:usb2="00000008" w:usb3="00000000" w:csb0="000001FF" w:csb1="00000000"/>
  </w:font>
  <w:font w:name="Arial">
    <w:altName w:val="Times New Roman"/>
    <w:panose1 w:val="020B0604020202020204"/>
    <w:charset w:val="01"/>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alibri">
    <w:altName w:val="DejaVu Sans"/>
    <w:panose1 w:val="020F0502020204030204"/>
    <w:charset w:val="00"/>
    <w:family w:val="swiss"/>
    <w:pitch w:val="variable"/>
    <w:sig w:usb0="00000000" w:usb1="00000000" w:usb2="00000001"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4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TQyOWYyOWY5ODVkMjVmM2VjMTE4NjJkMmM3MTI0Mm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4">
    <w:name w:val="heading 4"/>
    <w:basedOn w:val="0"/>
    <w:next w:val="0"/>
    <w:pPr>
      <w:keepNext/>
      <w:keepLines/>
      <w:widowControl/>
      <w:spacing w:line="360" w:lineRule="auto"/>
      <w:jc w:val="center"/>
      <w:outlineLvl w:val="3"/>
    </w:pPr>
    <w:rPr>
      <w:rFonts w:ascii="Arial" w:eastAsia="黑体" w:hAnsi="Arial"/>
      <w:kern w:val="0"/>
      <w:sz w:val="28"/>
      <w:szCs w:val="20"/>
    </w:rPr>
  </w:style>
  <w:style w:type="character" w:default="1" w:styleId="10">
    <w:name w:val="Default Paragraph Font"/>
  </w:style>
  <w:style w:type="paragraph" w:styleId="15">
    <w:name w:val="Normal Indent"/>
    <w:basedOn w:val="0"/>
    <w:pPr>
      <w:ind w:firstLine="420"/>
    </w:pPr>
    <w:rPr>
      <w:szCs w:val="20"/>
    </w:rPr>
  </w:style>
  <w:style w:type="paragraph" w:styleId="16">
    <w:name w:val="table of authorities"/>
    <w:basedOn w:val="0"/>
    <w:next w:val="0"/>
    <w:pPr>
      <w:ind w:leftChars="200" w:left="200"/>
    </w:pPr>
  </w:style>
  <w:style w:type="paragraph" w:styleId="17">
    <w:name w:val="Plain Text"/>
    <w:basedOn w:val="0"/>
    <w:rPr>
      <w:rFonts w:ascii="宋体"/>
      <w:kern w:val="0"/>
      <w:sz w:val="20"/>
      <w:szCs w:val="21"/>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customStyle="1" w:styleId="21">
    <w:name w:val="Table Paragraph"/>
    <w:basedOn w:val="0"/>
    <w:pPr>
      <w:jc w:val="left"/>
    </w:pPr>
    <w:rPr>
      <w:rFonts w:ascii="Calibri" w:hAnsi="Calibri"/>
      <w:kern w:val="0"/>
      <w:sz w:val="22"/>
      <w:szCs w:val="22"/>
      <w:lang w:eastAsia="en-US"/>
    </w:rPr>
  </w:style>
  <w:style w:type="paragraph" w:customStyle="1" w:styleId="22">
    <w:name w:val="章标题"/>
    <w:next w:val="0"/>
    <w:pPr>
      <w:spacing w:beforeLines="50" w:before="50" w:afterLines="50" w:after="50" w:line="336" w:lineRule="auto"/>
      <w:jc w:val="both"/>
      <w:outlineLvl w:val="1"/>
    </w:pPr>
    <w:rPr>
      <w:rFonts w:ascii="黑体" w:eastAsia="黑体" w:cs="Times New Roman"/>
      <w:sz w:val="21"/>
      <w:szCs w:val="21"/>
      <w:lang w:val="en-US" w:eastAsia="zh-CN" w:bidi="ar-SA"/>
    </w:rPr>
  </w:style>
  <w:style w:type="paragraph" w:customStyle="1" w:styleId="23">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2</Pages>
  <Words>816</Words>
  <Characters>874</Characters>
  <Lines>55</Lines>
  <Paragraphs>37</Paragraphs>
  <CharactersWithSpaces>904</CharactersWithSpaces>
  <Company>P R C</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唐佳谦</cp:lastModifiedBy>
  <cp:revision>2</cp:revision>
  <cp:lastPrinted>2024-05-15T01:28:00Z</cp:lastPrinted>
  <dcterms:created xsi:type="dcterms:W3CDTF">2025-07-16T23:28:00Z</dcterms:created>
  <dcterms:modified xsi:type="dcterms:W3CDTF">2025-08-21T03:23:57Z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2052-11.1.0.11704</vt:lpwstr>
  </property>
  <property fmtid="{D5CDD505-2E9C-101B-9397-08002B2CF9AE}" pid="3" name="ICV">
    <vt:lpwstr>EA5B38DBA15145F8A61830C8EAB3CA62_13</vt:lpwstr>
  </property>
  <property fmtid="{D5CDD505-2E9C-101B-9397-08002B2CF9AE}" pid="4" name="KSOTemplateDocerSaveRecord">
    <vt:lpwstr>eyJoZGlkIjoiOTQ3MTdjNzJlM2MxMTlkZGE1YWJhY2QxMTlhMTA3ZDUiLCJ1c2VySWQiOiIyMDkyODI5OCJ9</vt:lpwstr>
  </property>
</Properties>
</file>