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tbl>
      <w:tblPr>
        <w:jc w:val="center"/>
        <w:tblW w:w="9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0"/>
        <w:gridCol w:w="1439"/>
        <w:gridCol w:w="7136"/>
      </w:tblGrid>
      <w:tr>
        <w:trPr>
          <w:trHeight w:val="90"/>
        </w:trPr>
        <w:tc>
          <w:tcPr>
            <w:tcW w:w="800" w:type="dxa"/>
            <w:noWrap/>
            <w:vAlign w:val="center"/>
          </w:tcPr>
          <w:p>
            <w:pPr>
              <w:widowControl/>
              <w:spacing w:line="360" w:lineRule="auto"/>
              <w:jc w:val="center"/>
              <w:rPr>
                <w:rFonts w:ascii="宋体" w:eastAsia="宋体" w:cs="宋体" w:hint="eastAsia"/>
                <w:b/>
                <w:bCs/>
                <w:color w:val="auto"/>
                <w:kern w:val="0"/>
                <w:sz w:val="21"/>
                <w:szCs w:val="21"/>
                <w:highlight w:val="auto"/>
              </w:rPr>
            </w:pPr>
            <w:bookmarkStart w:id="0" w:name="_GoBack"/>
            <w:bookmarkEnd w:id="0"/>
            <w:r>
              <w:rPr>
                <w:rFonts w:ascii="宋体" w:eastAsia="宋体" w:cs="宋体" w:hint="eastAsia"/>
                <w:b/>
                <w:bCs/>
                <w:color w:val="auto"/>
                <w:kern w:val="0"/>
                <w:sz w:val="21"/>
                <w:szCs w:val="21"/>
                <w:highlight w:val="auto"/>
              </w:rPr>
              <w:t>序号</w:t>
            </w:r>
          </w:p>
        </w:tc>
        <w:tc>
          <w:tcPr>
            <w:tcW w:w="1439" w:type="dxa"/>
            <w:noWrap/>
            <w:vAlign w:val="center"/>
          </w:tcPr>
          <w:p>
            <w:pPr>
              <w:widowControl/>
              <w:spacing w:line="360" w:lineRule="auto"/>
              <w:jc w:val="center"/>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highlight w:val="auto"/>
              </w:rPr>
              <w:t>评审因素</w:t>
            </w:r>
          </w:p>
        </w:tc>
        <w:tc>
          <w:tcPr>
            <w:tcW w:w="7136" w:type="dxa"/>
            <w:noWrap/>
            <w:vAlign w:val="center"/>
          </w:tcPr>
          <w:p>
            <w:pPr>
              <w:widowControl/>
              <w:spacing w:line="360" w:lineRule="auto"/>
              <w:jc w:val="center"/>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highlight w:val="auto"/>
              </w:rPr>
              <w:t>评审因素具体内容</w:t>
            </w:r>
          </w:p>
        </w:tc>
      </w:tr>
      <w:tr>
        <w:trPr>
          <w:trHeight w:val="90"/>
        </w:trPr>
        <w:tc>
          <w:tcPr>
            <w:tcW w:w="800" w:type="dxa"/>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eastAsia="宋体" w:cs="宋体" w:hint="eastAsia"/>
                <w:b/>
                <w:color w:val="auto"/>
                <w:kern w:val="0"/>
                <w:sz w:val="21"/>
                <w:szCs w:val="21"/>
                <w:lang w:eastAsia="zh-CN"/>
                <w:highlight w:val="auto"/>
              </w:rPr>
            </w:pPr>
            <w:r>
              <w:rPr>
                <w:rFonts w:ascii="宋体" w:cs="宋体" w:hint="eastAsia"/>
                <w:b w:val="0"/>
                <w:bCs/>
                <w:color w:val="auto"/>
                <w:kern w:val="0"/>
                <w:sz w:val="21"/>
                <w:szCs w:val="21"/>
                <w:lang w:val="en-US" w:eastAsia="zh-CN"/>
                <w:highlight w:val="auto"/>
              </w:rPr>
              <w:t>1</w:t>
            </w:r>
          </w:p>
        </w:tc>
        <w:tc>
          <w:tcPr>
            <w:tcW w:w="1439" w:type="dxa"/>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lang w:val="en-US" w:eastAsia="zh-CN"/>
                <w:highlight w:val="auto"/>
              </w:rPr>
              <w:t>技术</w:t>
            </w:r>
            <w:r>
              <w:rPr>
                <w:rFonts w:ascii="宋体" w:eastAsia="宋体" w:cs="宋体" w:hint="eastAsia"/>
                <w:b/>
                <w:bCs/>
                <w:color w:val="auto"/>
                <w:kern w:val="0"/>
                <w:sz w:val="21"/>
                <w:szCs w:val="21"/>
                <w:highlight w:val="auto"/>
              </w:rPr>
              <w:t>分</w:t>
            </w:r>
          </w:p>
        </w:tc>
        <w:tc>
          <w:tcPr>
            <w:tcW w:w="7136" w:type="dxa"/>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eastAsia="宋体" w:cs="宋体" w:hint="eastAsia"/>
                <w:b/>
                <w:color w:val="auto"/>
                <w:kern w:val="0"/>
                <w:sz w:val="21"/>
                <w:szCs w:val="21"/>
                <w:highlight w:val="auto"/>
              </w:rPr>
            </w:pPr>
            <w:r>
              <w:rPr>
                <w:rFonts w:ascii="宋体" w:eastAsia="宋体" w:cs="宋体" w:hint="eastAsia"/>
                <w:b/>
                <w:color w:val="auto"/>
                <w:kern w:val="0"/>
                <w:sz w:val="21"/>
                <w:szCs w:val="21"/>
                <w:highlight w:val="auto"/>
              </w:rPr>
              <w:t>评审因素</w:t>
            </w:r>
          </w:p>
        </w:tc>
      </w:tr>
      <w:tr>
        <w:trPr>
          <w:trHeight w:val="90"/>
        </w:trPr>
        <w:tc>
          <w:tcPr>
            <w:tcW w:w="800" w:type="dxa"/>
            <w:vMerge w:val="restart"/>
            <w:noWrap/>
            <w:vAlign w:val="center"/>
          </w:tcPr>
          <w:p>
            <w:pPr>
              <w:widowControl/>
              <w:spacing w:line="360" w:lineRule="auto"/>
              <w:jc w:val="center"/>
              <w:rPr>
                <w:rFonts w:ascii="宋体" w:eastAsia="宋体" w:cs="宋体" w:hint="eastAsia"/>
                <w:b w:val="0"/>
                <w:bCs/>
                <w:color w:val="auto"/>
                <w:kern w:val="0"/>
                <w:sz w:val="21"/>
                <w:szCs w:val="21"/>
                <w:lang w:val="en-US" w:eastAsia="zh-CN"/>
                <w:highlight w:val="auto"/>
              </w:rPr>
            </w:pPr>
            <w:r>
              <w:rPr>
                <w:rFonts w:ascii="宋体" w:cs="宋体" w:hint="eastAsia"/>
                <w:b w:val="0"/>
                <w:bCs/>
                <w:color w:val="auto"/>
                <w:kern w:val="0"/>
                <w:sz w:val="21"/>
                <w:szCs w:val="21"/>
                <w:lang w:val="en-US" w:eastAsia="zh-CN"/>
                <w:highlight w:val="auto"/>
              </w:rPr>
              <w:t>1</w:t>
            </w:r>
            <w:r>
              <w:rPr>
                <w:rFonts w:ascii="宋体" w:eastAsia="宋体" w:cs="宋体" w:hint="eastAsia"/>
                <w:b w:val="0"/>
                <w:bCs/>
                <w:color w:val="auto"/>
                <w:kern w:val="0"/>
                <w:sz w:val="21"/>
                <w:szCs w:val="21"/>
                <w:lang w:val="en-US" w:eastAsia="zh-CN"/>
                <w:highlight w:val="auto"/>
              </w:rPr>
              <w:t>.1</w:t>
            </w:r>
          </w:p>
        </w:tc>
        <w:tc>
          <w:tcPr>
            <w:tcW w:w="1439" w:type="dxa"/>
            <w:vMerge w:val="restart"/>
            <w:noWrap/>
            <w:vAlign w:val="center"/>
          </w:tcPr>
          <w:p>
            <w:pPr>
              <w:widowControl/>
              <w:spacing w:line="360" w:lineRule="auto"/>
              <w:jc w:val="center"/>
              <w:rPr>
                <w:rFonts w:ascii="宋体" w:eastAsia="宋体" w:cs="宋体" w:hint="eastAsia"/>
                <w:b/>
                <w:bCs/>
                <w:color w:val="auto"/>
                <w:kern w:val="0"/>
                <w:sz w:val="21"/>
                <w:szCs w:val="21"/>
                <w:lang w:eastAsia="zh-CN"/>
                <w:highlight w:val="auto"/>
              </w:rPr>
            </w:pPr>
            <w:r>
              <w:rPr>
                <w:rFonts w:ascii="宋体" w:eastAsia="宋体" w:cs="宋体" w:hint="eastAsia"/>
                <w:b/>
                <w:bCs/>
                <w:color w:val="auto"/>
                <w:kern w:val="0"/>
                <w:sz w:val="21"/>
                <w:szCs w:val="21"/>
                <w:lang w:val="en-US" w:eastAsia="zh-CN"/>
                <w:highlight w:val="auto"/>
              </w:rPr>
              <w:t>服务方案分</w:t>
            </w:r>
            <w:r>
              <w:rPr>
                <w:rFonts w:ascii="宋体" w:eastAsia="宋体" w:cs="宋体" w:hint="eastAsia"/>
                <w:b/>
                <w:bCs/>
                <w:color w:val="auto"/>
                <w:kern w:val="0"/>
                <w:sz w:val="21"/>
                <w:szCs w:val="21"/>
                <w:lang w:eastAsia="zh-CN"/>
                <w:highlight w:val="auto"/>
              </w:rPr>
              <w:t>（满分</w:t>
            </w:r>
            <w:r>
              <w:rPr>
                <w:rFonts w:ascii="宋体" w:eastAsia="宋体" w:cs="宋体" w:hint="eastAsia"/>
                <w:b/>
                <w:sz w:val="21"/>
                <w:szCs w:val="21"/>
                <w:lang w:val="en-US" w:eastAsia="zh-CN"/>
                <w:highlight w:val="auto"/>
              </w:rPr>
              <w:t>50</w:t>
            </w:r>
            <w:r>
              <w:rPr>
                <w:rFonts w:ascii="宋体" w:eastAsia="宋体" w:cs="宋体" w:hint="eastAsia"/>
                <w:b/>
                <w:sz w:val="21"/>
                <w:szCs w:val="21"/>
                <w:highlight w:val="auto"/>
              </w:rPr>
              <w:t>分</w:t>
            </w:r>
            <w:r>
              <w:rPr>
                <w:rFonts w:ascii="宋体" w:eastAsia="宋体" w:cs="宋体" w:hint="eastAsia"/>
                <w:b/>
                <w:sz w:val="21"/>
                <w:szCs w:val="21"/>
                <w:lang w:eastAsia="zh-CN"/>
                <w:highlight w:val="auto"/>
              </w:rPr>
              <w:t>）</w:t>
            </w:r>
          </w:p>
        </w:tc>
        <w:tc>
          <w:tcPr>
            <w:tcW w:w="7136" w:type="dxa"/>
            <w:noWrap/>
          </w:tcPr>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lang w:val="en-US" w:eastAsia="zh-CN"/>
                <w:highlight w:val="auto"/>
              </w:rPr>
            </w:pPr>
            <w:r>
              <w:rPr>
                <w:rFonts w:ascii="宋体" w:eastAsia="宋体" w:cs="宋体" w:hint="eastAsia"/>
                <w:sz w:val="21"/>
                <w:szCs w:val="21"/>
                <w:lang w:val="en-US" w:eastAsia="zh-CN"/>
                <w:highlight w:val="auto"/>
              </w:rPr>
              <w:t>（1）对承接招标代理业务具体工作措施，服务方案是否可行、具体、明确，是否具有较强的操作性和针对性（具体承接采购工作时工作程序、流程、人员的分工等），满分40分。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lang w:val="en-US" w:eastAsia="zh-CN"/>
                <w:highlight w:val="auto"/>
              </w:rPr>
            </w:pPr>
            <w:r>
              <w:rPr>
                <w:rFonts w:ascii="宋体" w:eastAsia="宋体" w:cs="宋体" w:hint="eastAsia"/>
                <w:sz w:val="21"/>
                <w:szCs w:val="21"/>
                <w:lang w:val="en-US" w:eastAsia="zh-CN"/>
                <w:highlight w:val="auto"/>
              </w:rPr>
              <w:t>一档：服务方案一般，可操作性、针对性不强1-10分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lang w:val="en-US" w:eastAsia="zh-CN"/>
                <w:highlight w:val="auto"/>
              </w:rPr>
            </w:pPr>
            <w:r>
              <w:rPr>
                <w:rFonts w:ascii="宋体" w:eastAsia="宋体" w:cs="宋体" w:hint="eastAsia"/>
                <w:sz w:val="21"/>
                <w:szCs w:val="21"/>
                <w:lang w:val="en-US" w:eastAsia="zh-CN"/>
                <w:highlight w:val="auto"/>
              </w:rPr>
              <w:t>二档：服务方案较为完善、可行，可操作性、针对性较强10.1-25分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sz w:val="21"/>
                <w:szCs w:val="21"/>
                <w:highlight w:val="auto"/>
              </w:rPr>
            </w:pPr>
            <w:r>
              <w:rPr>
                <w:rFonts w:ascii="宋体" w:eastAsia="宋体" w:cs="宋体" w:hint="eastAsia"/>
                <w:sz w:val="21"/>
                <w:szCs w:val="21"/>
                <w:lang w:val="en-US" w:eastAsia="zh-CN"/>
                <w:highlight w:val="auto"/>
              </w:rPr>
              <w:t>三档：服务方案完善、可行，计划详细，可操作性、针对性强25.1-40分</w:t>
            </w:r>
          </w:p>
        </w:tc>
      </w:tr>
      <w:tr>
        <w:trPr>
          <w:trHeight w:val="90"/>
        </w:trPr>
        <w:tc>
          <w:tcPr>
            <w:tcW w:w="800" w:type="dxa"/>
            <w:vMerge/>
            <w:noWrap/>
            <w:vAlign w:val="center"/>
          </w:tcPr>
          <w:p/>
        </w:tc>
        <w:tc>
          <w:tcPr>
            <w:tcW w:w="1439" w:type="dxa"/>
            <w:vMerge/>
            <w:noWrap/>
            <w:vAlign w:val="center"/>
          </w:tcPr>
          <w:p/>
        </w:tc>
        <w:tc>
          <w:tcPr>
            <w:tcW w:w="7136" w:type="dxa"/>
            <w:noWrap/>
          </w:tcPr>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b w:val="0"/>
                <w:bCs/>
                <w:color w:val="auto"/>
                <w:kern w:val="0"/>
                <w:sz w:val="21"/>
                <w:szCs w:val="21"/>
                <w:lang w:val="en-US" w:eastAsia="zh-CN"/>
                <w:highlight w:val="auto"/>
              </w:rPr>
            </w:pPr>
            <w:r>
              <w:rPr>
                <w:rFonts w:ascii="宋体" w:eastAsia="宋体" w:cs="宋体" w:hint="eastAsia"/>
                <w:b w:val="0"/>
                <w:bCs/>
                <w:color w:val="auto"/>
                <w:kern w:val="0"/>
                <w:sz w:val="21"/>
                <w:szCs w:val="21"/>
                <w:lang w:val="en-US" w:eastAsia="zh-CN"/>
                <w:highlight w:val="auto"/>
              </w:rPr>
              <w:t>（2）内控管理完善情况。包括内控机制、风险点管控、廉洁纪律等；满分10分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b w:val="0"/>
                <w:bCs/>
                <w:color w:val="auto"/>
                <w:kern w:val="0"/>
                <w:sz w:val="21"/>
                <w:szCs w:val="21"/>
                <w:lang w:val="en-US" w:eastAsia="zh-CN"/>
                <w:highlight w:val="auto"/>
              </w:rPr>
            </w:pPr>
            <w:r>
              <w:rPr>
                <w:rFonts w:ascii="宋体" w:eastAsia="宋体" w:cs="宋体" w:hint="eastAsia"/>
                <w:b w:val="0"/>
                <w:bCs/>
                <w:color w:val="auto"/>
                <w:kern w:val="0"/>
                <w:sz w:val="21"/>
                <w:szCs w:val="21"/>
                <w:lang w:val="en-US" w:eastAsia="zh-CN"/>
                <w:highlight w:val="auto"/>
              </w:rPr>
              <w:t>一档：无内控管理体系，可行性一般，1-3分；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b w:val="0"/>
                <w:bCs/>
                <w:color w:val="auto"/>
                <w:kern w:val="0"/>
                <w:sz w:val="21"/>
                <w:szCs w:val="21"/>
                <w:lang w:val="en-US" w:eastAsia="zh-CN"/>
                <w:highlight w:val="auto"/>
              </w:rPr>
            </w:pPr>
            <w:r>
              <w:rPr>
                <w:rFonts w:ascii="宋体" w:eastAsia="宋体" w:cs="宋体" w:hint="eastAsia"/>
                <w:b w:val="0"/>
                <w:bCs/>
                <w:color w:val="auto"/>
                <w:kern w:val="0"/>
                <w:sz w:val="21"/>
                <w:szCs w:val="21"/>
                <w:lang w:val="en-US" w:eastAsia="zh-CN"/>
                <w:highlight w:val="auto"/>
              </w:rPr>
              <w:t>二档：有相关内控管理体系，可行性较强，3.1-6分；</w:t>
            </w:r>
          </w:p>
          <w:p>
            <w:pPr>
              <w:pStyle w:val="15"/>
              <w:keepNext w:val="0"/>
              <w:keepLines w:val="0"/>
              <w:pageBreakBefore w:val="0"/>
              <w:widowControl/>
              <w:kinsoku/>
              <w:wordWrap/>
              <w:overflowPunct/>
              <w:topLinePunct w:val="0"/>
              <w:autoSpaceDE/>
              <w:autoSpaceDN/>
              <w:bidi w:val="0"/>
              <w:adjustRightInd/>
              <w:snapToGrid/>
              <w:spacing w:line="360" w:lineRule="auto"/>
              <w:ind w:firstLineChars="196" w:firstLine="412"/>
              <w:textAlignment w:val="auto"/>
              <w:rPr>
                <w:rFonts w:ascii="宋体" w:eastAsia="宋体" w:cs="宋体" w:hint="eastAsia"/>
                <w:b/>
                <w:color w:val="auto"/>
                <w:kern w:val="0"/>
                <w:sz w:val="21"/>
                <w:szCs w:val="21"/>
                <w:highlight w:val="auto"/>
              </w:rPr>
            </w:pPr>
            <w:r>
              <w:rPr>
                <w:rFonts w:ascii="宋体" w:eastAsia="宋体" w:cs="宋体" w:hint="eastAsia"/>
                <w:b w:val="0"/>
                <w:bCs/>
                <w:color w:val="auto"/>
                <w:kern w:val="0"/>
                <w:sz w:val="21"/>
                <w:szCs w:val="21"/>
                <w:lang w:val="en-US" w:eastAsia="zh-CN"/>
                <w:highlight w:val="auto"/>
              </w:rPr>
              <w:t>三：有详细的内控管理体系，可行性强，6.1-10分；</w:t>
            </w:r>
          </w:p>
        </w:tc>
      </w:tr>
      <w:tr>
        <w:trPr>
          <w:trHeight w:val="90"/>
        </w:trPr>
        <w:tc>
          <w:tcPr>
            <w:tcW w:w="800" w:type="dxa"/>
            <w:noWrap/>
            <w:vAlign w:val="center"/>
          </w:tcPr>
          <w:p>
            <w:pPr>
              <w:widowControl/>
              <w:spacing w:line="360" w:lineRule="auto"/>
              <w:jc w:val="center"/>
              <w:rPr>
                <w:rFonts w:ascii="宋体" w:eastAsia="宋体" w:cs="宋体" w:hint="eastAsia"/>
                <w:b w:val="0"/>
                <w:bCs w:val="0"/>
                <w:color w:val="auto"/>
                <w:kern w:val="0"/>
                <w:sz w:val="21"/>
                <w:szCs w:val="21"/>
                <w:lang w:eastAsia="zh-CN"/>
                <w:highlight w:val="auto"/>
              </w:rPr>
            </w:pPr>
            <w:r>
              <w:rPr>
                <w:rFonts w:ascii="宋体" w:cs="宋体" w:hint="eastAsia"/>
                <w:b w:val="0"/>
                <w:bCs w:val="0"/>
                <w:color w:val="auto"/>
                <w:kern w:val="0"/>
                <w:sz w:val="21"/>
                <w:szCs w:val="21"/>
                <w:lang w:val="en-US" w:eastAsia="zh-CN"/>
                <w:highlight w:val="auto"/>
              </w:rPr>
              <w:t>2</w:t>
            </w:r>
          </w:p>
        </w:tc>
        <w:tc>
          <w:tcPr>
            <w:tcW w:w="1439" w:type="dxa"/>
            <w:noWrap/>
            <w:vAlign w:val="center"/>
          </w:tcPr>
          <w:p>
            <w:pPr>
              <w:widowControl/>
              <w:spacing w:line="360" w:lineRule="auto"/>
              <w:jc w:val="center"/>
              <w:rPr>
                <w:rFonts w:ascii="宋体" w:eastAsia="宋体" w:cs="宋体" w:hint="eastAsia"/>
                <w:b/>
                <w:bCs/>
                <w:color w:val="auto"/>
                <w:sz w:val="21"/>
                <w:szCs w:val="21"/>
                <w:highlight w:val="auto"/>
              </w:rPr>
            </w:pPr>
            <w:r>
              <w:rPr>
                <w:rFonts w:ascii="宋体" w:eastAsia="宋体" w:cs="宋体" w:hint="eastAsia"/>
                <w:b/>
                <w:bCs/>
                <w:color w:val="auto"/>
                <w:sz w:val="21"/>
                <w:szCs w:val="21"/>
                <w:highlight w:val="auto"/>
              </w:rPr>
              <w:t>商务分</w:t>
            </w:r>
          </w:p>
        </w:tc>
        <w:tc>
          <w:tcPr>
            <w:tcW w:w="7136" w:type="dxa"/>
            <w:noWrap/>
            <w:vAlign w:val="center"/>
          </w:tcPr>
          <w:p>
            <w:pPr>
              <w:widowControl/>
              <w:spacing w:line="360" w:lineRule="auto"/>
              <w:jc w:val="center"/>
              <w:rPr>
                <w:rFonts w:ascii="宋体" w:eastAsia="宋体" w:cs="宋体" w:hint="eastAsia"/>
                <w:b/>
                <w:bCs/>
                <w:color w:val="auto"/>
                <w:kern w:val="0"/>
                <w:sz w:val="21"/>
                <w:szCs w:val="21"/>
                <w:highlight w:val="auto"/>
              </w:rPr>
            </w:pPr>
            <w:r>
              <w:rPr>
                <w:rFonts w:ascii="宋体" w:eastAsia="宋体" w:cs="宋体" w:hint="eastAsia"/>
                <w:b/>
                <w:bCs/>
                <w:color w:val="auto"/>
                <w:kern w:val="0"/>
                <w:sz w:val="21"/>
                <w:szCs w:val="21"/>
                <w:highlight w:val="auto"/>
              </w:rPr>
              <w:t>评审因素</w:t>
            </w:r>
          </w:p>
        </w:tc>
      </w:tr>
      <w:tr>
        <w:trPr>
          <w:trHeight w:val="90"/>
        </w:trPr>
        <w:tc>
          <w:tcPr>
            <w:tcW w:w="800" w:type="dxa"/>
            <w:vMerge w:val="restart"/>
            <w:noWrap/>
            <w:vAlign w:val="center"/>
          </w:tcPr>
          <w:p>
            <w:pPr>
              <w:widowControl/>
              <w:spacing w:line="360" w:lineRule="auto"/>
              <w:jc w:val="center"/>
              <w:rPr>
                <w:rFonts w:ascii="宋体" w:eastAsia="宋体" w:cs="宋体" w:hint="eastAsia"/>
                <w:b w:val="0"/>
                <w:bCs w:val="0"/>
                <w:color w:val="auto"/>
                <w:kern w:val="0"/>
                <w:sz w:val="21"/>
                <w:szCs w:val="21"/>
                <w:lang w:val="en-US" w:eastAsia="zh-CN"/>
                <w:highlight w:val="auto"/>
              </w:rPr>
            </w:pPr>
            <w:r>
              <w:rPr>
                <w:rFonts w:ascii="宋体" w:cs="宋体" w:hint="eastAsia"/>
                <w:b w:val="0"/>
                <w:bCs w:val="0"/>
                <w:color w:val="auto"/>
                <w:kern w:val="0"/>
                <w:sz w:val="21"/>
                <w:szCs w:val="21"/>
                <w:lang w:val="en-US" w:eastAsia="zh-CN"/>
                <w:highlight w:val="auto"/>
              </w:rPr>
              <w:t>2</w:t>
            </w:r>
            <w:r>
              <w:rPr>
                <w:rFonts w:ascii="宋体" w:eastAsia="宋体" w:cs="宋体" w:hint="eastAsia"/>
                <w:b w:val="0"/>
                <w:bCs w:val="0"/>
                <w:color w:val="auto"/>
                <w:kern w:val="0"/>
                <w:sz w:val="21"/>
                <w:szCs w:val="21"/>
                <w:lang w:val="en-US" w:eastAsia="zh-CN"/>
                <w:highlight w:val="auto"/>
              </w:rPr>
              <w:t>.1</w:t>
            </w:r>
          </w:p>
        </w:tc>
        <w:tc>
          <w:tcPr>
            <w:tcW w:w="1439" w:type="dxa"/>
            <w:vMerge w:val="restart"/>
            <w:noWrap/>
            <w:vAlign w:val="center"/>
          </w:tcPr>
          <w:p>
            <w:pPr>
              <w:widowControl/>
              <w:spacing w:line="360" w:lineRule="auto"/>
              <w:jc w:val="center"/>
              <w:rPr>
                <w:rFonts w:ascii="宋体" w:eastAsia="宋体" w:cs="宋体" w:hint="eastAsia"/>
                <w:b/>
                <w:bCs/>
                <w:color w:val="auto"/>
                <w:sz w:val="21"/>
                <w:szCs w:val="21"/>
                <w:lang w:eastAsia="zh-CN"/>
                <w:highlight w:val="auto"/>
              </w:rPr>
            </w:pPr>
            <w:r>
              <w:rPr>
                <w:rFonts w:ascii="宋体" w:eastAsia="宋体" w:cs="宋体" w:hint="eastAsia"/>
                <w:b/>
                <w:sz w:val="21"/>
                <w:szCs w:val="21"/>
                <w:lang w:val="en-US" w:eastAsia="zh-CN"/>
                <w:highlight w:val="auto"/>
              </w:rPr>
              <w:t>实力与资格信誉分</w:t>
            </w:r>
            <w:r>
              <w:rPr>
                <w:rFonts w:ascii="宋体" w:eastAsia="宋体" w:cs="宋体" w:hint="eastAsia"/>
                <w:b/>
                <w:sz w:val="21"/>
                <w:szCs w:val="21"/>
                <w:lang w:eastAsia="zh-CN"/>
                <w:highlight w:val="auto"/>
              </w:rPr>
              <w:t>（满分</w:t>
            </w:r>
            <w:r>
              <w:rPr>
                <w:rFonts w:ascii="宋体" w:eastAsia="宋体" w:cs="宋体" w:hint="eastAsia"/>
                <w:b/>
                <w:sz w:val="21"/>
                <w:szCs w:val="21"/>
                <w:lang w:val="en-US" w:eastAsia="zh-CN"/>
                <w:highlight w:val="auto"/>
              </w:rPr>
              <w:t>10</w:t>
            </w:r>
            <w:r>
              <w:rPr>
                <w:rFonts w:ascii="宋体" w:eastAsia="宋体" w:cs="宋体" w:hint="eastAsia"/>
                <w:b/>
                <w:sz w:val="21"/>
                <w:szCs w:val="21"/>
                <w:highlight w:val="auto"/>
              </w:rPr>
              <w:t>分</w:t>
            </w:r>
            <w:r>
              <w:rPr>
                <w:rFonts w:ascii="宋体" w:eastAsia="宋体" w:cs="宋体" w:hint="eastAsia"/>
                <w:b/>
                <w:sz w:val="21"/>
                <w:szCs w:val="21"/>
                <w:lang w:eastAsia="zh-CN"/>
                <w:highlight w:val="auto"/>
              </w:rPr>
              <w:t>）</w:t>
            </w: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both"/>
              <w:textAlignment w:val="auto"/>
              <w:rPr>
                <w:rFonts w:ascii="宋体" w:eastAsia="宋体" w:cs="宋体" w:hint="eastAsia"/>
                <w:b w:val="0"/>
                <w:bCs w:val="0"/>
                <w:color w:val="auto"/>
                <w:kern w:val="0"/>
                <w:sz w:val="21"/>
                <w:szCs w:val="21"/>
                <w:highlight w:val="auto"/>
              </w:rPr>
            </w:pPr>
            <w:r>
              <w:rPr>
                <w:rFonts w:ascii="宋体" w:eastAsia="宋体" w:cs="宋体" w:hint="eastAsia"/>
                <w:b w:val="0"/>
                <w:bCs w:val="0"/>
                <w:color w:val="auto"/>
                <w:kern w:val="0"/>
                <w:sz w:val="21"/>
                <w:szCs w:val="21"/>
                <w:lang w:val="en-US" w:eastAsia="zh-CN"/>
                <w:highlight w:val="auto"/>
              </w:rPr>
              <w:t>(1)财务经营状况(2022、2023、2024年度)，同时提供经会计师事务所审计的2022、2023和2024年的财务报告复印件，满分2分。</w:t>
            </w:r>
          </w:p>
        </w:tc>
      </w:tr>
      <w:tr>
        <w:trPr>
          <w:trHeight w:val="90"/>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both"/>
              <w:textAlignment w:val="auto"/>
              <w:rPr>
                <w:rFonts w:ascii="宋体" w:eastAsia="宋体" w:cs="宋体" w:hint="eastAsia"/>
                <w:b w:val="0"/>
                <w:bCs w:val="0"/>
                <w:color w:val="auto"/>
                <w:sz w:val="21"/>
                <w:szCs w:val="21"/>
                <w:shd w:val="clear" w:color="auto" w:fill="auto"/>
                <w:lang w:val="en-US" w:eastAsia="zh-CN"/>
                <w:highlight w:val="auto"/>
              </w:rPr>
            </w:pPr>
            <w:r>
              <w:rPr>
                <w:rFonts w:ascii="宋体" w:eastAsia="宋体" w:cs="宋体" w:hint="eastAsia"/>
                <w:b w:val="0"/>
                <w:bCs w:val="0"/>
                <w:color w:val="auto"/>
                <w:kern w:val="0"/>
                <w:sz w:val="21"/>
                <w:szCs w:val="21"/>
                <w:lang w:val="en-US" w:eastAsia="zh-CN"/>
                <w:highlight w:val="auto"/>
              </w:rPr>
              <w:t>(2)自2021年以来获得政府职能部门、事业单位、行业协会（不包括报刊杂志社）颁发的与企业生产经营相关的各种荣（信）誉奖项证书（提供奖项、证书复印件）；每项2分，满分6分。</w:t>
            </w:r>
          </w:p>
        </w:tc>
      </w:tr>
      <w:tr>
        <w:trPr>
          <w:trHeight w:val="90"/>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highlight w:val="auto"/>
              </w:rPr>
            </w:pPr>
            <w:r>
              <w:rPr>
                <w:rFonts w:ascii="宋体" w:eastAsia="宋体" w:cs="宋体" w:hint="eastAsia"/>
                <w:b w:val="0"/>
                <w:bCs w:val="0"/>
                <w:color w:val="auto"/>
                <w:kern w:val="0"/>
                <w:sz w:val="21"/>
                <w:szCs w:val="21"/>
                <w:lang w:val="en-US" w:eastAsia="zh-CN"/>
                <w:highlight w:val="auto"/>
              </w:rPr>
              <w:t>(3)在桂林开展代理业务（截止至开标日）不足四年的得1分，四年（含四年）以上得2分，满分2分。</w:t>
            </w:r>
          </w:p>
        </w:tc>
      </w:tr>
      <w:tr>
        <w:trPr>
          <w:trHeight w:val="90"/>
        </w:trPr>
        <w:tc>
          <w:tcPr>
            <w:tcW w:w="800" w:type="dxa"/>
            <w:vMerge w:val="restart"/>
            <w:noWrap/>
            <w:vAlign w:val="center"/>
          </w:tcPr>
          <w:p>
            <w:pPr>
              <w:widowControl/>
              <w:spacing w:line="360" w:lineRule="auto"/>
              <w:jc w:val="center"/>
              <w:rPr>
                <w:rFonts w:ascii="宋体" w:eastAsia="宋体" w:cs="宋体"/>
                <w:b/>
                <w:bCs/>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2.2</w:t>
            </w:r>
          </w:p>
        </w:tc>
        <w:tc>
          <w:tcPr>
            <w:tcW w:w="1439" w:type="dxa"/>
            <w:vMerge w:val="restart"/>
            <w:noWrap/>
            <w:vAlign w:val="center"/>
          </w:tcPr>
          <w:p>
            <w:pPr>
              <w:widowControl/>
              <w:spacing w:line="360" w:lineRule="auto"/>
              <w:jc w:val="center"/>
              <w:rPr>
                <w:rFonts w:ascii="宋体" w:eastAsia="宋体" w:cs="宋体" w:hint="eastAsia"/>
                <w:b/>
                <w:bCs/>
                <w:color w:val="auto"/>
                <w:sz w:val="21"/>
                <w:szCs w:val="21"/>
                <w:highlight w:val="auto"/>
              </w:rPr>
            </w:pPr>
            <w:r>
              <w:rPr>
                <w:rFonts w:ascii="宋体" w:eastAsia="宋体" w:cs="宋体" w:hint="eastAsia"/>
                <w:b/>
                <w:sz w:val="21"/>
                <w:szCs w:val="21"/>
                <w:lang w:val="en-US" w:eastAsia="zh-CN"/>
                <w:highlight w:val="auto"/>
              </w:rPr>
              <w:t>办公场地及设备分</w:t>
            </w:r>
            <w:r>
              <w:rPr>
                <w:rFonts w:ascii="宋体" w:eastAsia="宋体" w:cs="宋体" w:hint="eastAsia"/>
                <w:b/>
                <w:sz w:val="21"/>
                <w:szCs w:val="21"/>
                <w:lang w:eastAsia="zh-CN"/>
                <w:highlight w:val="auto"/>
              </w:rPr>
              <w:t>（满分</w:t>
            </w:r>
            <w:r>
              <w:rPr>
                <w:rFonts w:ascii="宋体" w:eastAsia="宋体" w:cs="宋体" w:hint="eastAsia"/>
                <w:b/>
                <w:sz w:val="21"/>
                <w:szCs w:val="21"/>
                <w:lang w:val="en-US" w:eastAsia="zh-CN"/>
                <w:highlight w:val="auto"/>
              </w:rPr>
              <w:t>15</w:t>
            </w:r>
            <w:r>
              <w:rPr>
                <w:rFonts w:ascii="宋体" w:eastAsia="宋体" w:cs="宋体" w:hint="eastAsia"/>
                <w:b/>
                <w:sz w:val="21"/>
                <w:szCs w:val="21"/>
                <w:lang w:eastAsia="zh-CN"/>
                <w:highlight w:val="auto"/>
              </w:rPr>
              <w:t>分）</w:t>
            </w: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(1)投标人在桂林市的办公场所环境条件较好，面积在200m²（含200 m²)以上、400 m²以下的，得2分，办公场所在400m²（含 400m²)以上的得4分。（提供购房合同或房屋租赁合同复印件，同时提供办公场所图片等证明材料），面积低于200m²的，不得分。满分4分。</w:t>
            </w:r>
          </w:p>
        </w:tc>
      </w:tr>
      <w:tr>
        <w:trPr>
          <w:trHeight w:val="90"/>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(2)投标人在桂林市的开、评标室合在一起的得1分，分别设置的得2分。（提供图片等相关资料）满分2分。</w:t>
            </w:r>
          </w:p>
        </w:tc>
      </w:tr>
      <w:tr>
        <w:trPr>
          <w:trHeight w:val="90"/>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（3）投标人在桂林市设有多个评标室的，每个得1分，（提供图片等相关资料）满分2分。</w:t>
            </w:r>
          </w:p>
        </w:tc>
      </w:tr>
      <w:tr>
        <w:trPr>
          <w:trHeight w:val="90"/>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(4)投标人在桂林市的办公场所配备有独立档案室的，（提供图片等相关资料）每个得2分。满分2分。</w:t>
            </w:r>
          </w:p>
        </w:tc>
      </w:tr>
      <w:tr>
        <w:trPr>
          <w:trHeight w:val="90"/>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(5)投标人在桂林现有办公设备（如电脑、复印机、电话、交通工具及现代监控技术设施等）、开评标设施等（提供图片等相关资料）0-5分。满分5分。</w:t>
            </w:r>
          </w:p>
        </w:tc>
      </w:tr>
      <w:tr>
        <w:trPr>
          <w:trHeight w:val="90"/>
        </w:trPr>
        <w:tc>
          <w:tcPr>
            <w:tcW w:w="800" w:type="dxa"/>
            <w:vMerge w:val="restart"/>
            <w:noWrap/>
            <w:vAlign w:val="center"/>
          </w:tcPr>
          <w:p>
            <w:pPr>
              <w:widowControl/>
              <w:spacing w:line="360" w:lineRule="auto"/>
              <w:jc w:val="center"/>
              <w:rPr>
                <w:rFonts w:ascii="宋体" w:eastAsia="宋体" w:cs="宋体"/>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2.3</w:t>
            </w:r>
          </w:p>
        </w:tc>
        <w:tc>
          <w:tcPr>
            <w:tcW w:w="1439" w:type="dxa"/>
            <w:vMerge w:val="restart"/>
            <w:noWrap/>
            <w:vAlign w:val="center"/>
          </w:tcPr>
          <w:p>
            <w:pPr>
              <w:widowControl/>
              <w:spacing w:line="360" w:lineRule="auto"/>
              <w:jc w:val="center"/>
              <w:rPr>
                <w:rFonts w:ascii="宋体" w:eastAsia="宋体" w:cs="宋体" w:hint="eastAsia"/>
                <w:b/>
                <w:bCs/>
                <w:color w:val="auto"/>
                <w:sz w:val="21"/>
                <w:szCs w:val="21"/>
                <w:highlight w:val="auto"/>
              </w:rPr>
            </w:pPr>
            <w:r>
              <w:rPr>
                <w:rFonts w:ascii="宋体" w:eastAsia="宋体" w:cs="宋体" w:hint="eastAsia"/>
                <w:b/>
                <w:bCs/>
                <w:color w:val="auto"/>
                <w:sz w:val="21"/>
                <w:szCs w:val="21"/>
                <w:lang w:val="en-US" w:eastAsia="zh-CN"/>
                <w:highlight w:val="auto"/>
              </w:rPr>
              <w:t>拟投入人员分</w:t>
            </w:r>
            <w:r>
              <w:rPr>
                <w:rFonts w:ascii="宋体" w:eastAsia="宋体" w:cs="宋体" w:hint="eastAsia"/>
                <w:b/>
                <w:sz w:val="21"/>
                <w:szCs w:val="21"/>
                <w:lang w:eastAsia="zh-CN"/>
                <w:highlight w:val="auto"/>
              </w:rPr>
              <w:t>（满分</w:t>
            </w:r>
            <w:r>
              <w:rPr>
                <w:rFonts w:ascii="宋体" w:eastAsia="宋体" w:cs="宋体" w:hint="eastAsia"/>
                <w:b/>
                <w:sz w:val="21"/>
                <w:szCs w:val="21"/>
                <w:lang w:val="en-US" w:eastAsia="zh-CN"/>
                <w:highlight w:val="auto"/>
              </w:rPr>
              <w:t>10</w:t>
            </w:r>
            <w:r>
              <w:rPr>
                <w:rFonts w:ascii="宋体" w:eastAsia="宋体" w:cs="宋体" w:hint="eastAsia"/>
                <w:b/>
                <w:sz w:val="21"/>
                <w:szCs w:val="21"/>
                <w:lang w:eastAsia="zh-CN"/>
                <w:highlight w:val="auto"/>
              </w:rPr>
              <w:t>分）</w:t>
            </w: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(1)拟投入货物、服务类项目的人员4人得2分；5-8人得3分；9人（含9人）及以上得5分。（提供具体名单及2025年1月以来任意连续3个月缴纳社保的证明材料）满分5分。</w:t>
            </w:r>
          </w:p>
        </w:tc>
      </w:tr>
      <w:tr>
        <w:trPr>
          <w:trHeight w:val="1415"/>
        </w:trPr>
        <w:tc>
          <w:tcPr>
            <w:tcW w:w="800" w:type="dxa"/>
            <w:vMerge/>
            <w:noWrap/>
            <w:vAlign w:val="center"/>
          </w:tcPr>
          <w:p/>
        </w:tc>
        <w:tc>
          <w:tcPr>
            <w:tcW w:w="1439" w:type="dxa"/>
            <w:vMerge/>
            <w:noWrap/>
            <w:vAlign w:val="center"/>
          </w:tcP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(2) 拟投入所有人员具有有效的广西壮族自治区政府采购从业人员培训合格证的，每人1分，满分5分。（提供培训合格证复印件及证明其为公司员工的材料)。</w:t>
            </w:r>
          </w:p>
        </w:tc>
      </w:tr>
      <w:tr>
        <w:trPr>
          <w:trHeight w:val="90"/>
        </w:trPr>
        <w:tc>
          <w:tcPr>
            <w:tcW w:w="800" w:type="dxa"/>
            <w:noWrap/>
            <w:vAlign w:val="center"/>
          </w:tcPr>
          <w:p>
            <w:pPr>
              <w:widowControl/>
              <w:spacing w:line="360" w:lineRule="auto"/>
              <w:jc w:val="center"/>
              <w:rPr>
                <w:rFonts w:ascii="宋体" w:eastAsia="宋体" w:cs="宋体"/>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2.4</w:t>
            </w:r>
          </w:p>
        </w:tc>
        <w:tc>
          <w:tcPr>
            <w:tcW w:w="1439" w:type="dxa"/>
            <w:noWrap/>
            <w:vAlign w:val="center"/>
          </w:tcPr>
          <w:p>
            <w:pPr>
              <w:widowControl/>
              <w:spacing w:line="360" w:lineRule="auto"/>
              <w:jc w:val="center"/>
              <w:rPr>
                <w:rFonts w:ascii="宋体" w:eastAsia="宋体" w:cs="宋体" w:hint="eastAsia"/>
                <w:b/>
                <w:bCs/>
                <w:color w:val="auto"/>
                <w:sz w:val="21"/>
                <w:szCs w:val="21"/>
                <w:highlight w:val="auto"/>
              </w:rPr>
            </w:pPr>
            <w:r>
              <w:rPr>
                <w:rFonts w:ascii="宋体" w:eastAsia="宋体" w:cs="宋体" w:hint="eastAsia"/>
                <w:b/>
                <w:bCs/>
                <w:color w:val="auto"/>
                <w:sz w:val="21"/>
                <w:szCs w:val="21"/>
                <w:lang w:val="en-US" w:eastAsia="zh-CN"/>
                <w:highlight w:val="auto"/>
              </w:rPr>
              <w:t>业绩分</w:t>
            </w:r>
            <w:r>
              <w:rPr>
                <w:rFonts w:ascii="宋体" w:eastAsia="宋体" w:cs="宋体" w:hint="eastAsia"/>
                <w:b/>
                <w:sz w:val="21"/>
                <w:szCs w:val="21"/>
                <w:lang w:eastAsia="zh-CN"/>
                <w:highlight w:val="auto"/>
              </w:rPr>
              <w:t>（满分</w:t>
            </w:r>
            <w:r>
              <w:rPr>
                <w:rFonts w:ascii="宋体" w:eastAsia="宋体" w:cs="宋体" w:hint="eastAsia"/>
                <w:b/>
                <w:sz w:val="21"/>
                <w:szCs w:val="21"/>
                <w:lang w:val="en-US" w:eastAsia="zh-CN"/>
                <w:highlight w:val="auto"/>
              </w:rPr>
              <w:t>15</w:t>
            </w:r>
            <w:r>
              <w:rPr>
                <w:rFonts w:ascii="宋体" w:eastAsia="宋体" w:cs="宋体" w:hint="eastAsia"/>
                <w:b/>
                <w:sz w:val="21"/>
                <w:szCs w:val="21"/>
                <w:lang w:eastAsia="zh-CN"/>
                <w:highlight w:val="auto"/>
              </w:rPr>
              <w:t>分）</w:t>
            </w:r>
          </w:p>
        </w:tc>
        <w:tc>
          <w:tcPr>
            <w:tcW w:w="7136" w:type="dxa"/>
            <w:noWrap/>
            <w:vAlign w:val="center"/>
          </w:tcPr>
          <w:p>
            <w:pPr>
              <w:keepNext w:val="0"/>
              <w:keepLines w:val="0"/>
              <w:pageBreakBefore w:val="0"/>
              <w:widowControl/>
              <w:kinsoku/>
              <w:wordWrap/>
              <w:overflowPunct/>
              <w:topLinePunct w:val="0"/>
              <w:autoSpaceDE/>
              <w:autoSpaceDN/>
              <w:bidi w:val="0"/>
              <w:spacing w:line="360" w:lineRule="auto"/>
              <w:ind w:firstLineChars="200" w:firstLine="420"/>
              <w:jc w:val="left"/>
              <w:textAlignment w:val="auto"/>
              <w:rPr>
                <w:rFonts w:ascii="宋体" w:eastAsia="宋体" w:cs="宋体" w:hint="eastAsia"/>
                <w:b w:val="0"/>
                <w:bCs w:val="0"/>
                <w:color w:val="auto"/>
                <w:kern w:val="0"/>
                <w:sz w:val="21"/>
                <w:szCs w:val="21"/>
                <w:lang w:val="en-US" w:eastAsia="zh-CN"/>
                <w:highlight w:val="auto"/>
              </w:rPr>
            </w:pPr>
            <w:r>
              <w:rPr>
                <w:rFonts w:ascii="宋体" w:eastAsia="宋体" w:cs="宋体" w:hint="eastAsia"/>
                <w:b w:val="0"/>
                <w:bCs w:val="0"/>
                <w:color w:val="auto"/>
                <w:kern w:val="0"/>
                <w:sz w:val="21"/>
                <w:szCs w:val="21"/>
                <w:lang w:val="en-US" w:eastAsia="zh-CN"/>
                <w:highlight w:val="auto"/>
              </w:rPr>
              <w:t>投标人2023年以来完成货物及服务采购代理项目情况，货物服务类：100万元以下项目每个1分，100万（含100万)以上项目每个2分，300万（含300万）以上项目每个3分；工程类：400万元以上（含400万元)项目)每个5分（须提供所代理项目的委托代理合同复印件、招标公告截图或复印件及中标通知书复印件）。满分15分。</w:t>
            </w:r>
          </w:p>
        </w:tc>
      </w:tr>
      <w:tr>
        <w:trPr>
          <w:trHeight w:val="358"/>
        </w:trPr>
        <w:tc>
          <w:tcPr>
            <w:tcW w:w="9375" w:type="dxa"/>
            <w:gridSpan w:val="3"/>
            <w:noWrap/>
          </w:tcPr>
          <w:p>
            <w:pPr>
              <w:widowControl/>
              <w:spacing w:line="360" w:lineRule="auto"/>
              <w:jc w:val="left"/>
              <w:rPr>
                <w:rFonts w:ascii="宋体" w:eastAsia="宋体" w:cs="宋体" w:hint="eastAsia"/>
                <w:color w:val="auto"/>
                <w:kern w:val="0"/>
                <w:sz w:val="21"/>
                <w:szCs w:val="21"/>
                <w:highlight w:val="auto"/>
              </w:rPr>
            </w:pPr>
            <w:r>
              <w:rPr>
                <w:rFonts w:ascii="宋体" w:eastAsia="宋体" w:cs="宋体" w:hint="eastAsia"/>
                <w:b/>
                <w:color w:val="auto"/>
                <w:sz w:val="21"/>
                <w:szCs w:val="21"/>
                <w:highlight w:val="auto"/>
              </w:rPr>
              <w:t>总得分＝1＋2</w:t>
            </w:r>
          </w:p>
        </w:tc>
      </w:tr>
    </w:tbl>
    <w:p>
      <w:pPr>
        <w:spacing w:line="360" w:lineRule="auto"/>
        <w:rPr>
          <w:rFonts w:ascii="宋体" w:eastAsia="宋体" w:cs="宋体" w:hint="eastAsia"/>
          <w:sz w:val="28"/>
          <w:szCs w:val="28"/>
          <w:lang w:val="en-US" w:eastAsia="zh-CN"/>
        </w:rPr>
      </w:pPr>
    </w:p>
    <w:sectPr>
      <w:pgSz w:w="11906" w:h="16838"/>
      <w:pgMar w:top="1440" w:right="1080" w:bottom="1440" w:left="108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003" w:usb1="288F0000" w:usb2="00000006" w:usb3="00000000" w:csb0="00040001" w:csb1="00000000"/>
  </w:font>
  <w:font w:name="Times New Roman">
    <w:panose1 w:val="02020603050405020304"/>
    <w:charset w:val="A1"/>
    <w:family w:val="auto"/>
    <w:pitch w:val="variable"/>
    <w:sig w:usb0="E0002AFF" w:usb1="C0007841" w:usb2="00000009" w:usb3="00000000" w:csb0="400001FF" w:csb1="FFFF0000"/>
  </w:font>
  <w:font w:name="Calibri">
    <w:panose1 w:val="020F0502020204030204"/>
    <w:charset w:val="00"/>
    <w:family w:val="swiss"/>
    <w:pitch w:val="variable"/>
    <w:sig w:usb0="E00002FF" w:usb1="4000ACFF" w:usb2="00000001" w:usb3="00000000" w:csb0="2000019F" w:csb1="00000000"/>
  </w:font>
  <w:font w:name="Luxi Sans">
    <w:altName w:val="Segoe Print"/>
    <w:panose1 w:val="00000000000000000000"/>
    <w:charset w:val="00"/>
    <w:family w:val="auto"/>
    <w:pitch w:val="variable"/>
    <w:sig w:usb0="00000000" w:usb1="00000000" w:usb2="00000000" w:usb3="00000000" w:csb0="00000000" w:csb1="0000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rPr>
  </w:style>
  <w:style w:type="paragraph" w:styleId="2">
    <w:name w:val="heading 2"/>
    <w:basedOn w:val="0"/>
    <w:next w:val="0"/>
    <w:pPr>
      <w:keepNext/>
      <w:keepLines/>
      <w:widowControl w:val="0"/>
      <w:spacing w:before="260" w:after="260" w:line="415" w:lineRule="auto"/>
      <w:outlineLvl w:val="1"/>
    </w:pPr>
    <w:rPr>
      <w:rFonts w:ascii="Luxi Sans" w:eastAsia="黑体" w:hAnsi="Luxi Sans"/>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Plain Text"/>
    <w:basedOn w:val="0"/>
    <w:next w:val="0"/>
    <w:rPr>
      <w:rFonts w:ascii="宋体"/>
      <w:szCs w:val="20"/>
    </w:rPr>
  </w:style>
  <w:style w:type="paragraph" w:customStyle="1" w:styleId="16">
    <w:name w:val="正文1"/>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6</TotalTime>
  <Application>Yozo_Office</Application>
  <Pages>2</Pages>
  <Words>1129</Words>
  <Characters>1261</Characters>
  <Lines>70</Lines>
  <Paragraphs>39</Paragraphs>
  <CharactersWithSpaces>1265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彭碧瑶</cp:lastModifiedBy>
  <cp:revision>0</cp:revision>
  <dcterms:created xsi:type="dcterms:W3CDTF">2025-08-12T06:49:00Z</dcterms:created>
  <dcterms:modified xsi:type="dcterms:W3CDTF">2025-10-13T07:39:20Z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eyJoZGlkIjoiNTc0NmJiZDE0ZDI5NDBmZDgwYmFlOGNkYWFjMzIxMDYiLCJ1c2VySWQiOiI3MjM3NTc4NDgifQ==</vt:lpwstr>
  </property>
  <property fmtid="{D5CDD505-2E9C-101B-9397-08002B2CF9AE}" pid="3" name="KSOProductBuildVer">
    <vt:lpwstr>2052-12.1.0.22529</vt:lpwstr>
  </property>
  <property fmtid="{D5CDD505-2E9C-101B-9397-08002B2CF9AE}" pid="4" name="ICV">
    <vt:lpwstr>EABD735A284E4B269AAB59D297C26E20_13</vt:lpwstr>
  </property>
</Properties>
</file>