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header1.xml" ContentType="application/vnd.openxmlformats-officedocument.wordprocessingml.header+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jc w:val="center"/>
        <w:rPr>
          <w:rFonts w:ascii="宋体" w:eastAsia="宋体" w:cs="宋体"/>
          <w:b/>
          <w:bCs/>
          <w:sz w:val="30"/>
          <w:szCs w:val="30"/>
        </w:rPr>
      </w:pPr>
      <w:bookmarkStart w:id="0" w:name="_GoBack"/>
      <w:r>
        <w:rPr>
          <w:rFonts w:hint="eastAsia"/>
          <w:b/>
          <w:sz w:val="36"/>
          <w:szCs w:val="36"/>
        </w:rPr>
        <w:t>桂林海关业务技术用房中央空调（固定资产）报废鉴定服务项目采购需求</w:t>
      </w:r>
    </w:p>
    <w:p>
      <w:pPr>
        <w:ind w:firstLineChars="200" w:firstLine="480"/>
        <w:jc w:val="left"/>
        <w:rPr>
          <w:rFonts w:ascii="宋体" w:cs="宋体"/>
          <w:b/>
          <w:sz w:val="24"/>
        </w:rPr>
      </w:pPr>
      <w:bookmarkEnd w:id="0"/>
    </w:p>
    <w:p>
      <w:pPr>
        <w:ind w:firstLineChars="200" w:firstLine="480"/>
        <w:jc w:val="left"/>
        <w:rPr>
          <w:rFonts w:ascii="宋体" w:cs="宋体"/>
          <w:sz w:val="24"/>
        </w:rPr>
      </w:pPr>
      <w:r>
        <w:rPr>
          <w:rFonts w:ascii="宋体" w:cs="宋体" w:hint="eastAsia"/>
          <w:b/>
          <w:sz w:val="24"/>
        </w:rPr>
        <w:t>一、项目名称：</w:t>
      </w:r>
      <w:r>
        <w:rPr>
          <w:rFonts w:ascii="宋体" w:cs="宋体" w:hint="eastAsia"/>
          <w:sz w:val="24"/>
        </w:rPr>
        <w:t>桂林海关业务技术用房中央空调（固定资产）报废鉴定服务项目。</w:t>
      </w:r>
    </w:p>
    <w:p>
      <w:pPr>
        <w:ind w:firstLineChars="200" w:firstLine="480"/>
        <w:jc w:val="left"/>
        <w:rPr>
          <w:rFonts w:ascii="宋体" w:cs="宋体"/>
          <w:b/>
          <w:sz w:val="24"/>
        </w:rPr>
      </w:pPr>
      <w:r>
        <w:rPr>
          <w:rFonts w:ascii="宋体" w:cs="宋体" w:hint="eastAsia"/>
          <w:b/>
          <w:sz w:val="24"/>
        </w:rPr>
        <w:t>二、项目预算</w:t>
      </w:r>
    </w:p>
    <w:p>
      <w:pPr>
        <w:ind w:firstLineChars="200" w:firstLine="480"/>
        <w:rPr>
          <w:rFonts w:ascii="宋体" w:cs="宋体"/>
          <w:sz w:val="24"/>
        </w:rPr>
      </w:pPr>
      <w:r>
        <w:rPr>
          <w:rFonts w:ascii="宋体" w:cs="宋体" w:hint="eastAsia"/>
          <w:sz w:val="24"/>
        </w:rPr>
        <w:t>预算金额为人民币6.5万元。（可派专业人员到现场进行查看）</w:t>
      </w:r>
    </w:p>
    <w:p>
      <w:pPr>
        <w:ind w:firstLineChars="200" w:firstLine="480"/>
        <w:rPr>
          <w:rFonts w:ascii="宋体" w:cs="宋体"/>
          <w:sz w:val="24"/>
        </w:rPr>
      </w:pPr>
      <w:r>
        <w:rPr>
          <w:rFonts w:ascii="宋体" w:cs="宋体" w:hint="eastAsia"/>
          <w:sz w:val="24"/>
        </w:rPr>
        <w:t>三、</w:t>
      </w:r>
      <w:r>
        <w:rPr>
          <w:rFonts w:ascii="宋体" w:cs="宋体" w:hint="eastAsia"/>
          <w:b/>
          <w:sz w:val="24"/>
        </w:rPr>
        <w:t>服务期</w:t>
      </w:r>
    </w:p>
    <w:p>
      <w:pPr>
        <w:ind w:firstLineChars="200" w:firstLine="480"/>
        <w:rPr>
          <w:rFonts w:ascii="宋体" w:cs="宋体"/>
          <w:sz w:val="24"/>
        </w:rPr>
      </w:pPr>
      <w:r>
        <w:rPr>
          <w:rFonts w:ascii="宋体" w:cs="宋体" w:hint="eastAsia"/>
          <w:sz w:val="24"/>
        </w:rPr>
        <w:t>服务机构需在收到中标通知后，按照采购方中标通知书时限要求签订服务合同，签订合同后30个工作日内按照合同内容完成相关符合要求的鉴定工作并出具正式的鉴定报告。</w:t>
      </w:r>
    </w:p>
    <w:p>
      <w:pPr>
        <w:spacing w:line="360" w:lineRule="auto"/>
        <w:ind w:firstLineChars="200" w:firstLine="480"/>
        <w:rPr>
          <w:rFonts w:ascii="宋体" w:cs="宋体"/>
          <w:b/>
          <w:sz w:val="24"/>
        </w:rPr>
      </w:pPr>
      <w:r>
        <w:rPr>
          <w:rFonts w:ascii="宋体" w:cs="宋体" w:hint="eastAsia"/>
          <w:b/>
          <w:sz w:val="24"/>
        </w:rPr>
        <w:t>四、服务地点</w:t>
      </w:r>
    </w:p>
    <w:p>
      <w:pPr>
        <w:spacing w:line="360" w:lineRule="auto"/>
        <w:ind w:firstLineChars="200" w:firstLine="480"/>
        <w:rPr>
          <w:rFonts w:ascii="宋体" w:cs="宋体"/>
          <w:bCs/>
          <w:sz w:val="24"/>
        </w:rPr>
      </w:pPr>
      <w:r>
        <w:rPr>
          <w:rFonts w:ascii="宋体" w:cs="宋体" w:hint="eastAsia"/>
          <w:bCs/>
          <w:sz w:val="24"/>
        </w:rPr>
        <w:t>广西桂林市七星区骖鸾路21号桂林海关。</w:t>
      </w:r>
    </w:p>
    <w:p>
      <w:pPr>
        <w:spacing w:line="360" w:lineRule="auto"/>
        <w:ind w:firstLineChars="200" w:firstLine="480"/>
        <w:rPr>
          <w:rFonts w:ascii="宋体" w:cs="宋体"/>
          <w:b/>
          <w:sz w:val="24"/>
        </w:rPr>
      </w:pPr>
      <w:r>
        <w:rPr>
          <w:rFonts w:ascii="宋体" w:cs="宋体" w:hint="eastAsia"/>
          <w:b/>
          <w:sz w:val="24"/>
        </w:rPr>
        <w:t>五、付款方式</w:t>
      </w:r>
    </w:p>
    <w:p>
      <w:pPr>
        <w:ind w:firstLineChars="200" w:firstLine="480"/>
        <w:rPr>
          <w:rFonts w:ascii="宋体" w:cs="宋体"/>
          <w:sz w:val="24"/>
        </w:rPr>
      </w:pPr>
      <w:r>
        <w:rPr>
          <w:rFonts w:ascii="宋体" w:cs="宋体" w:hint="eastAsia"/>
          <w:sz w:val="24"/>
        </w:rPr>
        <w:t>应在收到鉴定服务单位出具的资产鉴定报告并审核无误后，自收到发票后一次性支付服务费用。</w:t>
      </w:r>
    </w:p>
    <w:p>
      <w:pPr>
        <w:spacing w:line="360" w:lineRule="auto"/>
        <w:ind w:firstLineChars="200" w:firstLine="480"/>
        <w:rPr>
          <w:rFonts w:ascii="宋体" w:cs="宋体"/>
          <w:b/>
          <w:sz w:val="24"/>
        </w:rPr>
      </w:pPr>
      <w:r>
        <w:rPr>
          <w:rFonts w:ascii="宋体" w:cs="宋体" w:hint="eastAsia"/>
          <w:b/>
          <w:sz w:val="24"/>
        </w:rPr>
        <w:t>六、技术要求</w:t>
      </w:r>
    </w:p>
    <w:p>
      <w:pPr>
        <w:ind w:firstLineChars="200" w:firstLine="480"/>
        <w:rPr>
          <w:rFonts w:ascii="宋体" w:cs="宋体"/>
          <w:sz w:val="24"/>
        </w:rPr>
      </w:pPr>
      <w:r>
        <w:rPr>
          <w:rFonts w:ascii="宋体" w:cs="宋体" w:hint="eastAsia"/>
          <w:sz w:val="24"/>
        </w:rPr>
        <w:t>1.对拟报废资产逐一进行报废技术鉴定：共计1件套（大室外机59台，小室外机12台），资产原值￥4043813.00元</w:t>
      </w:r>
      <w:r>
        <w:rPr>
          <w:rFonts w:ascii="宋体" w:cs="宋体" w:hint="eastAsia"/>
          <w:color w:val="FF0000"/>
          <w:sz w:val="24"/>
        </w:rPr>
        <w:t>。</w:t>
      </w:r>
    </w:p>
    <w:p>
      <w:pPr>
        <w:ind w:firstLineChars="200" w:firstLine="480"/>
        <w:rPr>
          <w:rFonts w:ascii="宋体" w:cs="宋体"/>
          <w:sz w:val="24"/>
        </w:rPr>
      </w:pPr>
      <w:r>
        <w:rPr>
          <w:rFonts w:ascii="宋体" w:cs="宋体" w:hint="eastAsia"/>
          <w:sz w:val="24"/>
        </w:rPr>
        <w:t>2.鉴定内容：由鉴定专家对本次待报废的每件设备进行现场勘验工作，根据设备使用手册及维修记录等文件，结合现场情况，对设备的外观、机械部件、设备安全设施情况及操作技术状况等进行全面检查，并根据报废标准进行判断，通过现场鉴定、现场测试等方式进行鉴定，并在规定时间内出具规范的符合要求的资产报废鉴定报告（包括纸质版、电子版）。鉴定报告需包括报废设备内容、报废设备过程、报废设备状态及鉴定结果等内容。报送的报告必须签章齐全、装订成册、页码标识规范、清晰。鉴定机构务必对其出具的鉴定报告负责，如有需要，务必应采购人要求对资产鉴定报告进行解释。</w:t>
      </w:r>
    </w:p>
    <w:p>
      <w:pPr>
        <w:ind w:firstLineChars="200" w:firstLine="480"/>
        <w:rPr>
          <w:rFonts w:ascii="宋体" w:cs="宋体"/>
          <w:sz w:val="24"/>
        </w:rPr>
      </w:pPr>
      <w:r>
        <w:rPr>
          <w:rFonts w:ascii="宋体" w:cs="宋体" w:hint="eastAsia"/>
          <w:sz w:val="24"/>
        </w:rPr>
        <w:t>3.原则上要求进场专家组成员须有2名以上，非经我方同意不得更换所派人员。如中选单位所派人员的业务能力、工作态度等不能满足项目要求，我单位有权要求更换所派人员。</w:t>
      </w:r>
    </w:p>
    <w:p>
      <w:pPr>
        <w:ind w:firstLineChars="200" w:firstLine="480"/>
        <w:rPr>
          <w:rFonts w:ascii="宋体" w:cs="宋体"/>
          <w:sz w:val="24"/>
        </w:rPr>
      </w:pPr>
      <w:r>
        <w:rPr>
          <w:rFonts w:ascii="宋体" w:cs="宋体" w:hint="eastAsia"/>
          <w:sz w:val="24"/>
        </w:rPr>
        <w:t>4.拟报废固定资产明细：</w:t>
      </w:r>
    </w:p>
    <w:tbl>
      <w:tblPr>
        <w:jc w:val="left"/>
        <w:tblInd w:w="-36" w:type="dxa"/>
        <w:tblW w:w="9168"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720"/>
        <w:gridCol w:w="1365"/>
        <w:gridCol w:w="2312"/>
        <w:gridCol w:w="992"/>
        <w:gridCol w:w="1393"/>
        <w:gridCol w:w="2386"/>
      </w:tblGrid>
      <w:tr>
        <w:trPr>
          <w:trHeight w:val="660"/>
        </w:trPr>
        <w:tc>
          <w:tcPr>
            <w:tcW w:w="7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eastAsia="宋体" w:cs="宋体"/>
                <w:b/>
                <w:bCs/>
                <w:color w:val="000000"/>
                <w:sz w:val="18"/>
                <w:szCs w:val="18"/>
              </w:rPr>
            </w:pPr>
            <w:r>
              <w:rPr>
                <w:rFonts w:ascii="宋体" w:eastAsia="宋体" w:cs="宋体" w:hint="eastAsia"/>
                <w:b/>
                <w:bCs/>
                <w:color w:val="000000"/>
                <w:kern w:val="0"/>
                <w:sz w:val="18"/>
                <w:szCs w:val="18"/>
              </w:rPr>
              <w:t>序号</w:t>
            </w:r>
          </w:p>
        </w:tc>
        <w:tc>
          <w:tcPr>
            <w:tcW w:w="13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eastAsia="宋体" w:cs="宋体"/>
                <w:b/>
                <w:bCs/>
                <w:color w:val="000000"/>
                <w:sz w:val="18"/>
                <w:szCs w:val="18"/>
              </w:rPr>
            </w:pPr>
            <w:r>
              <w:rPr>
                <w:rFonts w:ascii="宋体" w:eastAsia="宋体" w:cs="宋体" w:hint="eastAsia"/>
                <w:b/>
                <w:bCs/>
                <w:color w:val="000000"/>
                <w:kern w:val="0"/>
                <w:sz w:val="18"/>
                <w:szCs w:val="18"/>
              </w:rPr>
              <w:t>固定资产名称</w:t>
            </w:r>
          </w:p>
        </w:tc>
        <w:tc>
          <w:tcPr>
            <w:tcW w:w="231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eastAsia="宋体" w:cs="宋体"/>
                <w:b/>
                <w:bCs/>
                <w:color w:val="000000"/>
                <w:sz w:val="18"/>
                <w:szCs w:val="18"/>
              </w:rPr>
            </w:pPr>
            <w:r>
              <w:rPr>
                <w:rFonts w:ascii="宋体" w:eastAsia="宋体" w:cs="宋体" w:hint="eastAsia"/>
                <w:b/>
                <w:bCs/>
                <w:color w:val="000000"/>
                <w:kern w:val="0"/>
                <w:sz w:val="18"/>
                <w:szCs w:val="18"/>
              </w:rPr>
              <w:t>规格型号</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eastAsia="宋体" w:cs="宋体"/>
                <w:b/>
                <w:bCs/>
                <w:color w:val="000000"/>
                <w:sz w:val="18"/>
                <w:szCs w:val="18"/>
              </w:rPr>
            </w:pPr>
            <w:r>
              <w:rPr>
                <w:rFonts w:ascii="宋体" w:eastAsia="宋体" w:cs="宋体" w:hint="eastAsia"/>
                <w:b/>
                <w:bCs/>
                <w:color w:val="000000"/>
                <w:kern w:val="0"/>
                <w:sz w:val="18"/>
                <w:szCs w:val="18"/>
              </w:rPr>
              <w:t>数量</w:t>
            </w:r>
          </w:p>
        </w:tc>
        <w:tc>
          <w:tcPr>
            <w:tcW w:w="13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eastAsia="宋体" w:cs="宋体"/>
                <w:b/>
                <w:bCs/>
                <w:color w:val="000000"/>
                <w:sz w:val="18"/>
                <w:szCs w:val="18"/>
              </w:rPr>
            </w:pPr>
            <w:r>
              <w:rPr>
                <w:rFonts w:ascii="宋体" w:eastAsia="宋体" w:cs="宋体" w:hint="eastAsia"/>
                <w:b/>
                <w:bCs/>
                <w:color w:val="000000"/>
                <w:kern w:val="0"/>
                <w:sz w:val="18"/>
                <w:szCs w:val="18"/>
              </w:rPr>
              <w:t>资产原值（元）</w:t>
            </w:r>
          </w:p>
        </w:tc>
        <w:tc>
          <w:tcPr>
            <w:tcW w:w="2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eastAsia="宋体" w:cs="宋体"/>
                <w:b/>
                <w:bCs/>
                <w:color w:val="000000"/>
                <w:sz w:val="20"/>
                <w:szCs w:val="20"/>
              </w:rPr>
            </w:pPr>
            <w:r>
              <w:rPr>
                <w:rFonts w:ascii="宋体" w:eastAsia="宋体" w:cs="宋体" w:hint="eastAsia"/>
                <w:b/>
                <w:bCs/>
                <w:color w:val="000000"/>
                <w:kern w:val="0"/>
                <w:sz w:val="20"/>
                <w:szCs w:val="20"/>
              </w:rPr>
              <w:t>其他需说明情况</w:t>
            </w:r>
          </w:p>
        </w:tc>
      </w:tr>
      <w:tr>
        <w:trPr>
          <w:trHeight w:val="718"/>
        </w:trPr>
        <w:tc>
          <w:tcPr>
            <w:tcW w:w="7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eastAsia="宋体" w:cs="宋体"/>
                <w:color w:val="000000"/>
                <w:sz w:val="18"/>
                <w:szCs w:val="18"/>
              </w:rPr>
            </w:pPr>
            <w:r>
              <w:rPr>
                <w:rFonts w:ascii="宋体" w:eastAsia="宋体" w:cs="宋体" w:hint="eastAsia"/>
                <w:color w:val="000000"/>
                <w:kern w:val="0"/>
                <w:sz w:val="18"/>
                <w:szCs w:val="18"/>
              </w:rPr>
              <w:t>1</w:t>
            </w:r>
          </w:p>
        </w:tc>
        <w:tc>
          <w:tcPr>
            <w:tcW w:w="1365" w:type="dxa"/>
            <w:tcBorders>
              <w:top w:val="single" w:sz="4" w:space="0" w:color="000000"/>
              <w:left w:val="single" w:sz="4" w:space="0" w:color="000000"/>
              <w:bottom w:val="single" w:sz="4" w:space="0" w:color="000000"/>
              <w:right w:val="single" w:sz="4" w:space="0" w:color="000000"/>
            </w:tcBorders>
            <w:shd w:val="clear" w:color="auto" w:fill="auto"/>
            <w:vAlign w:val="center"/>
          </w:tcPr>
          <w:p>
            <w:pPr>
              <w:jc w:val="center"/>
              <w:rPr>
                <w:rFonts w:ascii="宋体" w:eastAsia="宋体" w:cs="宋体"/>
                <w:color w:val="000000"/>
                <w:sz w:val="18"/>
                <w:szCs w:val="18"/>
              </w:rPr>
            </w:pPr>
            <w:r>
              <w:rPr>
                <w:rFonts w:ascii="宋体" w:eastAsia="宋体" w:cs="宋体" w:hint="eastAsia"/>
                <w:color w:val="000000"/>
                <w:sz w:val="18"/>
                <w:szCs w:val="18"/>
              </w:rPr>
              <w:t>中央空调</w:t>
            </w:r>
          </w:p>
        </w:tc>
        <w:tc>
          <w:tcPr>
            <w:tcW w:w="2312" w:type="dxa"/>
            <w:tcBorders>
              <w:top w:val="single" w:sz="4" w:space="0" w:color="000000"/>
              <w:left w:val="single" w:sz="4" w:space="0" w:color="000000"/>
              <w:bottom w:val="single" w:sz="4" w:space="0" w:color="000000"/>
              <w:right w:val="single" w:sz="4" w:space="0" w:color="000000"/>
            </w:tcBorders>
            <w:shd w:val="clear" w:color="auto" w:fill="auto"/>
            <w:vAlign w:val="center"/>
          </w:tcPr>
          <w:p>
            <w:pPr>
              <w:jc w:val="center"/>
              <w:rPr>
                <w:rFonts w:ascii="宋体" w:eastAsia="宋体" w:cs="宋体"/>
                <w:color w:val="000000"/>
                <w:sz w:val="18"/>
                <w:szCs w:val="18"/>
              </w:rPr>
            </w:pPr>
            <w:r>
              <w:rPr>
                <w:rFonts w:ascii="宋体" w:eastAsia="宋体" w:cs="宋体" w:hint="eastAsia"/>
                <w:color w:val="000000"/>
                <w:sz w:val="18"/>
                <w:szCs w:val="18"/>
              </w:rPr>
              <w:t>海尔MRV2双变多联</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pPr>
              <w:jc w:val="center"/>
              <w:rPr>
                <w:rFonts w:ascii="宋体" w:eastAsia="宋体" w:cs="宋体"/>
                <w:color w:val="000000"/>
                <w:sz w:val="18"/>
                <w:szCs w:val="18"/>
              </w:rPr>
            </w:pPr>
            <w:r>
              <w:rPr>
                <w:rFonts w:ascii="宋体" w:eastAsia="宋体" w:cs="宋体" w:hint="eastAsia"/>
                <w:color w:val="000000"/>
                <w:sz w:val="18"/>
                <w:szCs w:val="18"/>
              </w:rPr>
              <w:t>1套</w:t>
            </w:r>
          </w:p>
        </w:tc>
        <w:tc>
          <w:tcPr>
            <w:tcW w:w="1393" w:type="dxa"/>
            <w:tcBorders>
              <w:top w:val="single" w:sz="4" w:space="0" w:color="000000"/>
              <w:left w:val="single" w:sz="4" w:space="0" w:color="000000"/>
              <w:bottom w:val="single" w:sz="4" w:space="0" w:color="000000"/>
              <w:right w:val="single" w:sz="4" w:space="0" w:color="000000"/>
            </w:tcBorders>
            <w:shd w:val="clear" w:color="auto" w:fill="auto"/>
            <w:vAlign w:val="center"/>
          </w:tcPr>
          <w:p>
            <w:pPr>
              <w:jc w:val="center"/>
              <w:rPr>
                <w:rFonts w:ascii="宋体" w:eastAsia="宋体" w:cs="宋体"/>
                <w:color w:val="000000"/>
                <w:sz w:val="18"/>
                <w:szCs w:val="18"/>
              </w:rPr>
            </w:pPr>
            <w:r>
              <w:rPr>
                <w:rFonts w:ascii="宋体" w:eastAsia="宋体" w:cs="宋体" w:hint="eastAsia"/>
                <w:color w:val="000000"/>
                <w:sz w:val="18"/>
                <w:szCs w:val="18"/>
              </w:rPr>
              <w:t>4043813.00</w:t>
            </w:r>
          </w:p>
        </w:tc>
        <w:tc>
          <w:tcPr>
            <w:tcW w:w="23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eastAsia="宋体" w:cs="宋体"/>
                <w:color w:val="000000"/>
                <w:sz w:val="20"/>
                <w:szCs w:val="20"/>
              </w:rPr>
            </w:pPr>
            <w:r>
              <w:rPr>
                <w:rFonts w:ascii="宋体" w:eastAsia="宋体" w:cs="宋体"/>
                <w:color w:val="000000"/>
                <w:sz w:val="20"/>
                <w:szCs w:val="20"/>
              </w:rPr>
              <w:t>购入时间：</w:t>
            </w:r>
            <w:r>
              <w:rPr>
                <w:rFonts w:ascii="宋体" w:eastAsia="宋体" w:cs="宋体" w:hint="eastAsia"/>
                <w:color w:val="000000"/>
                <w:sz w:val="20"/>
                <w:szCs w:val="20"/>
              </w:rPr>
              <w:t>2009年12月</w:t>
            </w:r>
          </w:p>
        </w:tc>
      </w:tr>
    </w:tbl>
    <w:p>
      <w:pPr>
        <w:adjustRightInd w:val="0"/>
        <w:snapToGrid w:val="0"/>
        <w:spacing w:line="460" w:lineRule="exact"/>
        <w:rPr>
          <w:b/>
          <w:bCs/>
          <w:sz w:val="24"/>
        </w:rPr>
      </w:pPr>
    </w:p>
    <w:sectPr>
      <w:headerReference w:type="default" r:id="rId2"/>
      <w:footerReference w:type="default" r:id="rId3"/>
      <w:pgSz w:w="11906" w:h="16838"/>
      <w:pgMar w:top="1531" w:right="1463" w:bottom="1270" w:left="1633" w:header="851" w:footer="992" w:gutter="0"/>
      <w:docGrid w:type="lines" w:linePitch="326" w:charSpace="0"/>
    </w:sectPr>
  </w:body>
</w:document>
</file>

<file path=word/fontTable.xml><?xml version="1.0" encoding="utf-8"?>
<w:fonts xmlns:w="http://schemas.openxmlformats.org/wordprocessingml/2006/main" xmlns:r="http://schemas.openxmlformats.org/officeDocument/2006/relationships">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auto"/>
    <w:pitch w:val="variable"/>
    <w:sig w:usb0="00007A87" w:usb1="80000000" w:usb2="00000008" w:usb3="00000000" w:csb0="400001FF" w:csb1="FFFF0000"/>
  </w:font>
  <w:font w:name="Courier New">
    <w:panose1 w:val="02070309020205020404"/>
    <w:charset w:val="00"/>
    <w:family w:val="modern"/>
    <w:pitch w:val="variable"/>
    <w:sig w:usb0="E0002EFF" w:usb1="C0007843" w:usb2="00000009" w:usb3="00000000" w:csb0="000001FF" w:csb1="00000000"/>
  </w:font>
  <w:font w:name=".......">
    <w:altName w:val="宋体"/>
    <w:panose1 w:val="00000000000000000000"/>
    <w:charset w:val="86"/>
    <w:family w:val="roman"/>
    <w:pitch w:val="variable"/>
    <w:sig w:usb0="00000000" w:usb1="00000000" w:usb2="00000010" w:usb3="00000000" w:csb0="00040000"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9"/>
      <w:tabs>
        <w:tab w:val="center" w:pos="4153"/>
        <w:tab w:val="right" w:pos="8306"/>
      </w:tabs>
    </w:pPr>
    <w:r>
      <mc:AlternateContent>
        <mc:Choice Requires="wps">
          <w:drawing>
            <wp:anchor distT="0" distB="0" distL="114298" distR="114298" simplePos="0" relativeHeight="10" behindDoc="0" locked="0" layoutInCell="1" hidden="0" allowOverlap="1">
              <wp:simplePos x="0" y="0"/>
              <wp:positionH relativeFrom="margin">
                <wp:align>center</wp:align>
              </wp:positionH>
              <wp:positionV relativeFrom="paragraph">
                <wp:posOffset>0</wp:posOffset>
              </wp:positionV>
              <wp:extent cx="57950" cy="139674"/>
              <wp:effectExtent l="0" t="0" r="0" b="0"/>
              <wp:wrapNone/>
              <wp:docPr id="1" name="_x0000_s1026"/>
              <wp:cNvGraphicFramePr>
                <a:graphicFrameLocks noChangeAspect="0"/>
              </wp:cNvGraphicFramePr>
              <a:graphic>
                <a:graphicData uri="http://schemas.microsoft.com/office/word/2010/wordprocessingShape">
                  <wps:wsp>
                    <wps:cNvSpPr/>
                    <wps:spPr>
                      <a:xfrm rot="0">
                        <a:off x="0" y="0"/>
                        <a:ext cx="57950" cy="139674"/>
                      </a:xfrm>
                      <a:prstGeom prst="rect"/>
                      <a:noFill/>
                      <a:ln w="9525" cmpd="sng" cap="flat">
                        <a:noFill/>
                        <a:prstDash val="solid"/>
                        <a:miter/>
                      </a:ln>
                    </wps:spPr>
                    <wps:txbx id="2">
                      <w:txbxContent>
                        <w:p>
                          <w:pPr>
                            <w:pStyle w:val="19"/>
                            <w:tabs>
                              <w:tab w:val="center" w:pos="4153"/>
                              <w:tab w:val="right" w:pos="8306"/>
                            </w:tabs>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vert="horz" wrap="none" lIns="0" tIns="0" rIns="0" bIns="0" anchor="t" anchorCtr="0" upright="1">
                      <a:spAutoFit/>
                    </wps:bodyPr>
                  </wps:wsp>
                </a:graphicData>
              </a:graphic>
            </wp:anchor>
          </w:drawing>
        </mc:Choice>
        <mc:Fallback>
          <w:pict>
            <v:shape type="#_x0000_t202" id="_x0000_s1026 3" o:spid="_x0000_s3" filled="f" stroked="f" style="position:absolute;margin-left:0.0pt;margin-top:0.0pt;width:4.562999pt;height:10.998005pt;z-index:10;mso-position-horizontal:center;mso-position-horizontal-relative:margin;mso-position-vertical:absolute;mso-wrap-distance-left:8.999863pt;mso-wrap-distance-right:8.999863pt;mso-wrap-style:none;">
              <v:stroke color="#000000"/>
              <v:textbox id="848" inset="0mm,0mm,0mm,0mm" o:insetmode="custom" style="layout-flow:horizontal;v-text-anchor:top;mso-fit-shape-to-text:t;">
                <w:txbxContent>
                  <w:p>
                    <w:pPr>
                      <w:pStyle w:val="19"/>
                      <w:tabs>
                        <w:tab w:val="center" w:pos="4153"/>
                        <w:tab w:val="right" w:pos="8306"/>
                      </w:tabs>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0"/>
      <w:pBdr>
        <w:bottom w:val="none" w:sz="0" w:space="0" w:color="auto"/>
      </w:pBdr>
      <w:tabs>
        <w:tab w:val="center" w:pos="4153"/>
        <w:tab w:val="right" w:pos="8306"/>
      </w:tabs>
      <w:jc w:val="both"/>
    </w:pPr>
  </w:p>
</w:hdr>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0"/>
  <w:doNotDisplayPageBoundaries/>
  <w:bordersDoNotSurroundHeader/>
  <w:bordersDoNotSurroundFooter/>
  <w:defaultTabStop w:val="420"/>
  <w:drawingGridHorizontalSpacing w:val="210"/>
  <w:drawingGridVerticalSpacing w:val="163"/>
  <w:displayHorizontalDrawingGridEvery w:val="0"/>
  <w:displayVerticalDrawingGridEvery w:val="1"/>
  <w:noPunctuationKerning/>
  <w:characterSpacingControl w:val="compressPunctuation"/>
  <w:compat>
    <w:spaceForUL/>
    <w:balanceSingleByteDoubleByteWidth/>
    <w:ulTrailSpace/>
    <w:doNotExpandShiftReturn/>
    <w:adjustLineHeightInTable/>
    <w:doNotUseIndentAsNumberingTabStop/>
    <w:useAltKinsokuLineBreakRules/>
    <w:compatSetting w:name="compatibilityMode" w:uri="http://schemas.microsoft.com/office/word" w:val="14"/>
  </w:compat>
  <w:docVars>
    <w:docVar w:name="commondata" w:val="eyJoZGlkIjoiYjdmMzk2OWMxMjhiYmMwNmMwOGVhZTU5MjQ3MzlmMmE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Arial" w:hAnsi="Calibri"/>
      <w:kern w:val="2"/>
      <w:sz w:val="21"/>
      <w:szCs w:val="24"/>
      <w:lang w:val="en-US" w:eastAsia="zh-CN" w:bidi="ar-SA"/>
    </w:rPr>
  </w:style>
  <w:style w:type="character" w:default="1" w:styleId="10">
    <w:name w:val="Default Paragraph Font"/>
  </w:style>
  <w:style w:type="paragraph" w:styleId="15">
    <w:name w:val="annotation text"/>
    <w:basedOn w:val="0"/>
    <w:pPr>
      <w:adjustRightInd w:val="0"/>
      <w:spacing w:line="360" w:lineRule="atLeast"/>
      <w:jc w:val="left"/>
      <w:textAlignment w:val="baseline"/>
    </w:pPr>
    <w:rPr>
      <w:kern w:val="0"/>
      <w:sz w:val="24"/>
    </w:rPr>
  </w:style>
  <w:style w:type="paragraph" w:styleId="16">
    <w:name w:val="Body Text"/>
    <w:basedOn w:val="0"/>
    <w:next w:val="0"/>
    <w:pPr>
      <w:spacing w:after="120"/>
    </w:pPr>
  </w:style>
  <w:style w:type="paragraph" w:styleId="17">
    <w:name w:val="Body Text Indent"/>
    <w:basedOn w:val="0"/>
    <w:next w:val="16"/>
    <w:pPr>
      <w:tabs>
        <w:tab w:val="left" w:pos="480"/>
      </w:tabs>
      <w:spacing w:line="560" w:lineRule="exact"/>
      <w:ind w:firstLine="480"/>
      <w:jc w:val="left"/>
    </w:pPr>
    <w:rPr>
      <w:rFonts w:ascii="宋体"/>
      <w:sz w:val="24"/>
    </w:rPr>
  </w:style>
  <w:style w:type="paragraph" w:styleId="18">
    <w:name w:val="Plain Text"/>
    <w:basedOn w:val="0"/>
    <w:rPr>
      <w:rFonts w:ascii="宋体" w:eastAsia="宋体" w:cs="Courier New"/>
      <w:szCs w:val="21"/>
    </w:rPr>
  </w:style>
  <w:style w:type="paragraph" w:styleId="19">
    <w:name w:val="footer"/>
    <w:basedOn w:val="0"/>
    <w:pPr>
      <w:tabs>
        <w:tab w:val="center" w:pos="4153"/>
        <w:tab w:val="right" w:pos="8306"/>
      </w:tabs>
      <w:snapToGrid w:val="0"/>
      <w:jc w:val="left"/>
    </w:pPr>
    <w:rPr>
      <w:sz w:val="18"/>
      <w:szCs w:val="18"/>
    </w:rPr>
  </w:style>
  <w:style w:type="paragraph" w:styleId="20">
    <w:name w:val="header"/>
    <w:basedOn w:val="0"/>
    <w:pPr>
      <w:pBdr>
        <w:bottom w:val="single" w:sz="6" w:space="1" w:color="auto"/>
      </w:pBdr>
      <w:tabs>
        <w:tab w:val="center" w:pos="4153"/>
        <w:tab w:val="right" w:pos="8306"/>
      </w:tabs>
      <w:snapToGrid w:val="0"/>
      <w:jc w:val="center"/>
    </w:pPr>
    <w:rPr>
      <w:sz w:val="18"/>
      <w:szCs w:val="18"/>
    </w:rPr>
  </w:style>
  <w:style w:type="paragraph" w:styleId="21">
    <w:name w:val="Normal (Web)"/>
    <w:basedOn w:val="0"/>
    <w:pPr>
      <w:spacing w:before="100" w:beforeAutospacing="1" w:after="100" w:afterAutospacing="1"/>
      <w:jc w:val="left"/>
    </w:pPr>
    <w:rPr>
      <w:rFonts w:cs="Times New Roman"/>
      <w:kern w:val="0"/>
      <w:sz w:val="24"/>
    </w:rPr>
  </w:style>
  <w:style w:type="paragraph" w:styleId="22">
    <w:name w:val="Body Text First Indent 2"/>
    <w:basedOn w:val="17"/>
    <w:next w:val="0"/>
    <w:pPr>
      <w:tabs>
        <w:tab w:val="left" w:pos="480"/>
      </w:tabs>
      <w:ind w:firstLineChars="200" w:firstLine="200"/>
    </w:pPr>
    <w:rPr>
      <w:rFonts w:ascii="Calibri" w:hAnsi="Calibri"/>
      <w:sz w:val="21"/>
      <w:szCs w:val="22"/>
    </w:rPr>
  </w:style>
  <w:style w:type="character" w:styleId="23">
    <w:name w:val="Strong"/>
    <w:basedOn w:val="10"/>
    <w:rPr>
      <w:b/>
      <w:bCs/>
    </w:rPr>
  </w:style>
  <w:style w:type="paragraph" w:customStyle="1" w:styleId="24">
    <w:name w:val="首行缩进"/>
    <w:basedOn w:val="0"/>
    <w:pPr>
      <w:spacing w:line="360" w:lineRule="auto"/>
      <w:ind w:firstLineChars="200" w:firstLine="200"/>
    </w:pPr>
    <w:rPr>
      <w:sz w:val="24"/>
      <w:szCs w:val="22"/>
      <w:lang w:val="zh-CN"/>
    </w:rPr>
  </w:style>
  <w:style w:type="paragraph" w:customStyle="1" w:styleId="25">
    <w:name w:val="Char"/>
    <w:basedOn w:val="0"/>
  </w:style>
  <w:style w:type="character" w:customStyle="1" w:styleId="26">
    <w:name w:val="NormalCharacter"/>
    <w:rPr>
      <w:rFonts w:ascii="Times New Roman" w:eastAsia="宋体" w:cs="Times New Roman" w:hAnsi="Times New Roman"/>
      <w:kern w:val="2"/>
      <w:sz w:val="21"/>
      <w:szCs w:val="24"/>
      <w:lang w:val="en-US" w:eastAsia="zh-CN" w:bidi="ar-SA"/>
    </w:rPr>
  </w:style>
  <w:style w:type="paragraph" w:customStyle="1" w:styleId="27">
    <w:name w:val="Default"/>
    <w:pPr>
      <w:widowControl w:val="0"/>
      <w:autoSpaceDE w:val="0"/>
      <w:autoSpaceDN w:val="0"/>
      <w:adjustRightInd w:val="0"/>
    </w:pPr>
    <w:rPr>
      <w:rFonts w:ascii="......." w:eastAsia="......." w:cs="......." w:hAnsi="......."/>
      <w:color w:val="000000"/>
      <w:sz w:val="24"/>
      <w:szCs w:val="24"/>
      <w:lang w:val="en-US" w:eastAsia="zh-CN" w:bidi="ar-SA"/>
    </w:rPr>
  </w:style>
  <w:style w:type="paragraph" w:customStyle="1" w:styleId="28">
    <w:name w:val="List Paragraph"/>
    <w:basedOn w:val="0"/>
    <w:pPr>
      <w:ind w:firstLineChars="200" w:firstLine="200"/>
    </w:pPr>
  </w:style>
  <w:style w:type="paragraph" w:customStyle="1" w:styleId="29">
    <w:name w:val="179"/>
    <w:basedOn w:val="0"/>
    <w:pPr>
      <w:ind w:firstLineChars="200" w:firstLine="200"/>
    </w:pPr>
  </w:style>
  <w:style w:type="paragraph" w:customStyle="1" w:styleId="30">
    <w:name w:val="UserStyle_1"/>
    <w:basedOn w:val="0"/>
    <w:pPr>
      <w:textAlignment w:val="baseline"/>
    </w:pPr>
  </w:style>
  <w:style w:type="paragraph" w:customStyle="1" w:styleId="31">
    <w:name w:val="p15"/>
    <w:basedOn w:val="0"/>
    <w:pPr>
      <w:spacing w:line="360" w:lineRule="auto"/>
      <w:ind w:firstLineChars="200" w:firstLine="200"/>
    </w:pPr>
    <w:rPr>
      <w:kern w:val="0"/>
      <w:sz w:val="24"/>
    </w:rPr>
  </w:style>
  <w:style w:type="paragraph" w:customStyle="1" w:styleId="32">
    <w:name w:val="Body text|1"/>
    <w:basedOn w:val="0"/>
    <w:pPr>
      <w:spacing w:line="466" w:lineRule="auto"/>
      <w:ind w:firstLine="400"/>
    </w:pPr>
    <w:rPr>
      <w:rFonts w:ascii="宋体" w:eastAsia="宋体" w:cs="宋体"/>
      <w:sz w:val="28"/>
      <w:szCs w:val="28"/>
      <w:lang w:val="zh-TW" w:eastAsia="zh-TW" w:bidi="zh-TW"/>
    </w:rPr>
  </w:style>
  <w:style w:type="paragraph" w:customStyle="1" w:styleId="33">
    <w:name w:val="列出段落1"/>
    <w:basedOn w:val="0"/>
    <w:pPr>
      <w:ind w:firstLineChars="200" w:firstLine="200"/>
    </w:pPr>
  </w:style>
  <w:style w:type="paragraph" w:styleId="34">
    <w:name w:val="Balloon Text"/>
    <w:basedOn w:val="0"/>
    <w:rPr>
      <w:sz w:val="18"/>
      <w:szCs w:val="1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styles" Target="styles.xml"/><Relationship Id="rId5" Type="http://schemas.openxmlformats.org/officeDocument/2006/relationships/fontTable" Target="fontTable.xml"/></Relationships>
</file>

<file path=docProps/app.xml><?xml version="1.0" encoding="utf-8"?>
<Properties xmlns="http://schemas.openxmlformats.org/officeDocument/2006/extended-properties">
  <Template>Normal.eit</Template>
  <TotalTime>8</TotalTime>
  <Application>Yozo_Office</Application>
  <Pages>1</Pages>
  <Words>32</Words>
  <Characters>32</Characters>
  <Lines>2</Lines>
  <Paragraphs>1</Paragraphs>
  <CharactersWithSpaces>32</CharactersWithSpaces>
  <Company>Lenovo</Company>
</Properties>
</file>

<file path=docProps/core.xml><?xml version="1.0" encoding="utf-8"?>
<cp:coreProperties xmlns:cp="http://schemas.openxmlformats.org/package/2006/metadata/core-properties" xmlns:dc="http://purl.org/dc/elements/1.1/" xmlns:dcterms="http://purl.org/dc/terms/" xmlns:xsi="http://www.w3.org/2001/XMLSchema-instance">
  <dc:title>天津市滨海新区中医医院小型零星电器维修服务项目</dc:title>
  <dc:creator>dell</dc:creator>
  <cp:lastModifiedBy>彭碧瑶</cp:lastModifiedBy>
  <cp:revision>3</cp:revision>
  <cp:lastPrinted>2023-11-15T00:52:00Z</cp:lastPrinted>
  <dcterms:created xsi:type="dcterms:W3CDTF">2025-10-11T09:04:00Z</dcterms:created>
  <dcterms:modified xsi:type="dcterms:W3CDTF">2025-10-14T09:07:46Z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2052-12.1.0.20305</vt:lpwstr>
  </property>
  <property fmtid="{D5CDD505-2E9C-101B-9397-08002B2CF9AE}" pid="3" name="ICV">
    <vt:lpwstr>4845D8B204BB45EC81D784050DA9EFBB_13</vt:lpwstr>
  </property>
  <property fmtid="{D5CDD505-2E9C-101B-9397-08002B2CF9AE}" pid="4" name="KSOTemplateDocerSaveRecord">
    <vt:lpwstr>eyJoZGlkIjoiM2FmODdiN2RhODI2YTM2N2FmODBlMjQ2ODFjNDQxNTQiLCJ1c2VySWQiOiI1MTcyNDI2MzUifQ==</vt:lpwstr>
  </property>
</Properties>
</file>