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540" w:lineRule="exact"/>
        <w:jc w:val="center"/>
        <w:rPr>
          <w:rFonts w:eastAsia="方正小标宋_GBK"/>
          <w:bCs/>
          <w:color w:val="000000"/>
          <w:sz w:val="32"/>
          <w:szCs w:val="32"/>
        </w:rPr>
      </w:pPr>
      <w:r>
        <w:rPr>
          <w:rFonts w:eastAsia="方正小标宋_GBK"/>
          <w:bCs/>
          <w:color w:val="000000"/>
          <w:sz w:val="32"/>
          <w:szCs w:val="32"/>
        </w:rPr>
        <w:t>评审办法</w:t>
      </w:r>
    </w:p>
    <w:p>
      <w:pPr>
        <w:spacing w:line="540" w:lineRule="exact"/>
        <w:jc w:val="center"/>
        <w:rPr>
          <w:rFonts w:eastAsia="方正小标宋_GBK"/>
          <w:bCs/>
          <w:color w:val="000000"/>
          <w:sz w:val="28"/>
          <w:szCs w:val="28"/>
        </w:rPr>
      </w:pPr>
      <w:r>
        <w:rPr>
          <w:rFonts w:eastAsia="方正小标宋_GBK"/>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eastAsia="方正黑体_GBK"/>
          <w:b/>
          <w:color w:val="000000"/>
          <w:sz w:val="28"/>
          <w:szCs w:val="28"/>
        </w:rPr>
        <w:t>响应文件送达及密封检查</w:t>
      </w:r>
    </w:p>
    <w:p>
      <w:pPr>
        <w:spacing w:line="480" w:lineRule="exact"/>
        <w:ind w:firstLineChars="200" w:firstLine="560"/>
        <w:rPr>
          <w:rFonts w:eastAsia="方正楷体_GBK"/>
          <w:b/>
          <w:color w:val="000000"/>
          <w:sz w:val="28"/>
          <w:szCs w:val="28"/>
        </w:rPr>
      </w:pPr>
      <w:r>
        <w:rPr>
          <w:rFonts w:eastAsia="方正楷体_GBK"/>
          <w:b/>
          <w:color w:val="000000"/>
          <w:sz w:val="28"/>
          <w:szCs w:val="28"/>
        </w:rPr>
        <w:t>（一）查看响应文件送达时间：</w:t>
      </w:r>
    </w:p>
    <w:p>
      <w:pPr>
        <w:spacing w:line="480" w:lineRule="exact"/>
        <w:ind w:firstLineChars="200" w:firstLine="560"/>
        <w:rPr>
          <w:rFonts w:eastAsia="方正仿宋_GBK"/>
          <w:color w:val="000000"/>
          <w:sz w:val="28"/>
          <w:szCs w:val="28"/>
        </w:rPr>
      </w:pPr>
      <w:r>
        <w:rPr>
          <w:rFonts w:eastAsia="方正仿宋_GBK"/>
          <w:color w:val="000000"/>
          <w:sz w:val="28"/>
          <w:szCs w:val="28"/>
        </w:rPr>
        <w:t>在《采购公告》规定的报价截止时间之前将响应文件送达。</w:t>
      </w:r>
    </w:p>
    <w:p>
      <w:pPr>
        <w:spacing w:line="480" w:lineRule="exact"/>
        <w:ind w:left="640"/>
        <w:rPr>
          <w:rFonts w:eastAsia="方正仿宋_GBK"/>
          <w:color w:val="000000"/>
          <w:sz w:val="28"/>
          <w:szCs w:val="28"/>
        </w:rPr>
      </w:pPr>
      <w:r>
        <w:rPr>
          <w:rFonts w:eastAsia="方正楷体_GBK"/>
          <w:b/>
          <w:color w:val="000000"/>
          <w:sz w:val="28"/>
          <w:szCs w:val="28"/>
        </w:rPr>
        <w:t>（二）响应文件包装密封要求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color w:val="000000"/>
          <w:sz w:val="28"/>
          <w:szCs w:val="28"/>
        </w:rPr>
        <w:t>供应商应将所有响应文件装在一个密封袋内，响应文件密封袋的封口处应加贴封条并加盖供应商法人单位公章以示密封。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二、资格审查</w:t>
      </w:r>
    </w:p>
    <w:p>
      <w:pPr>
        <w:spacing w:line="480" w:lineRule="exact"/>
        <w:ind w:firstLineChars="200" w:firstLine="560"/>
        <w:rPr>
          <w:rFonts w:eastAsia="方正仿宋_GBK"/>
          <w:color w:val="000000"/>
          <w:sz w:val="28"/>
          <w:szCs w:val="28"/>
        </w:rPr>
      </w:pPr>
      <w:r>
        <w:rPr>
          <w:rFonts w:eastAsia="方正仿宋_GBK"/>
          <w:color w:val="000000"/>
          <w:sz w:val="28"/>
          <w:szCs w:val="28"/>
        </w:rPr>
        <w:t>具备《采购公告》中企业资质，通过审查不足3家的应废标，采购人重新组织采购。</w:t>
      </w:r>
    </w:p>
    <w:p>
      <w:pPr>
        <w:spacing w:line="480" w:lineRule="exact"/>
        <w:ind w:left="640"/>
        <w:rPr>
          <w:rFonts w:eastAsia="方正黑体_GBK"/>
          <w:color w:val="000000"/>
          <w:sz w:val="28"/>
          <w:szCs w:val="28"/>
        </w:rPr>
      </w:pPr>
      <w:r>
        <w:rPr>
          <w:rFonts w:eastAsia="方正黑体_GBK"/>
          <w:color w:val="000000"/>
          <w:sz w:val="28"/>
          <w:szCs w:val="28"/>
        </w:rPr>
        <w:t>三、符合性审查</w:t>
      </w:r>
    </w:p>
    <w:p>
      <w:pPr>
        <w:spacing w:line="480" w:lineRule="exact"/>
        <w:ind w:left="640"/>
        <w:rPr>
          <w:rFonts w:eastAsia="方正楷体_GBK"/>
          <w:b/>
          <w:color w:val="000000"/>
          <w:sz w:val="28"/>
          <w:szCs w:val="28"/>
        </w:rPr>
      </w:pPr>
      <w:r>
        <w:rPr>
          <w:rFonts w:eastAsia="方正楷体_GBK"/>
          <w:b/>
          <w:sz w:val="28"/>
          <w:szCs w:val="28"/>
        </w:rPr>
        <w:t>（一）</w:t>
      </w:r>
      <w:r>
        <w:rPr>
          <w:rFonts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4.有效的“营业执照”或“事业单位法人证书”副本复印件（必须提供）；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7.“信用中国”（www.creditchina.gov.cn）信用报告及中国政府采购网（www.ccgp.gov.cn）政府采购严重违法失信行为信息记录截图（必须提供）；</w:t>
      </w:r>
    </w:p>
    <w:p>
      <w:pPr>
        <w:spacing w:line="480" w:lineRule="exact"/>
        <w:ind w:leftChars="-1" w:left="-2" w:firstLineChars="221" w:firstLine="619"/>
        <w:rPr>
          <w:rFonts w:eastAsia="方正仿宋_GBK"/>
          <w:sz w:val="28"/>
          <w:szCs w:val="28"/>
        </w:rPr>
      </w:pPr>
      <w:r>
        <w:rPr>
          <w:rFonts w:eastAsia="方正仿宋_GBK"/>
          <w:sz w:val="28"/>
          <w:szCs w:val="28"/>
        </w:rPr>
        <w:t>8.供应商基本情况介绍；</w:t>
      </w:r>
    </w:p>
    <w:p>
      <w:pPr>
        <w:spacing w:line="480" w:lineRule="exact"/>
        <w:ind w:leftChars="-1" w:left="-2" w:firstLineChars="221" w:firstLine="619"/>
        <w:rPr>
          <w:rFonts w:eastAsia="方正仿宋_GBK"/>
          <w:sz w:val="28"/>
          <w:szCs w:val="28"/>
        </w:rPr>
      </w:pPr>
      <w:r>
        <w:rPr>
          <w:rFonts w:eastAsia="方正仿宋_GBK"/>
          <w:sz w:val="28"/>
          <w:szCs w:val="28"/>
        </w:rPr>
        <w:t>9.拟派的本项目负责人简历和技术人员表；</w:t>
      </w:r>
    </w:p>
    <w:p>
      <w:pPr>
        <w:spacing w:line="480" w:lineRule="exact"/>
        <w:ind w:leftChars="-1" w:left="-2" w:firstLineChars="221" w:firstLine="619"/>
        <w:rPr>
          <w:rFonts w:eastAsia="方正仿宋_GBK"/>
          <w:sz w:val="28"/>
          <w:szCs w:val="28"/>
        </w:rPr>
      </w:pPr>
      <w:r>
        <w:rPr>
          <w:rFonts w:eastAsia="方正仿宋_GBK"/>
          <w:sz w:val="28"/>
          <w:szCs w:val="28"/>
        </w:rPr>
        <w:t>10.近三年同类工作相关业绩；</w:t>
      </w:r>
    </w:p>
    <w:p>
      <w:pPr>
        <w:spacing w:line="480" w:lineRule="exact"/>
        <w:ind w:leftChars="-1" w:left="-2" w:firstLineChars="221" w:firstLine="619"/>
        <w:rPr>
          <w:rFonts w:eastAsia="方正仿宋_GBK"/>
          <w:sz w:val="28"/>
          <w:szCs w:val="28"/>
        </w:rPr>
      </w:pPr>
      <w:r>
        <w:rPr>
          <w:rFonts w:eastAsia="方正仿宋_GBK"/>
          <w:sz w:val="28"/>
          <w:szCs w:val="28"/>
        </w:rPr>
        <w:t>11.提供所报价设备的图片及具体参数（如为设备类项目须提供）；</w:t>
      </w:r>
    </w:p>
    <w:p>
      <w:pPr>
        <w:spacing w:line="480" w:lineRule="exact"/>
        <w:ind w:leftChars="-1" w:left="-2" w:firstLineChars="221" w:firstLine="619"/>
        <w:rPr>
          <w:rFonts w:eastAsia="方正仿宋_GBK"/>
          <w:sz w:val="28"/>
          <w:szCs w:val="28"/>
        </w:rPr>
      </w:pPr>
      <w:r>
        <w:rPr>
          <w:rFonts w:eastAsia="方正仿宋_GBK"/>
          <w:sz w:val="28"/>
          <w:szCs w:val="28"/>
        </w:rPr>
        <w:t>12.其他证明文件的复印件（如有请提供）。</w:t>
      </w:r>
    </w:p>
    <w:p>
      <w:pPr>
        <w:spacing w:line="560" w:lineRule="exact"/>
        <w:ind w:leftChars="-1" w:left="-2" w:firstLineChars="200" w:firstLine="560"/>
        <w:rPr>
          <w:rFonts w:eastAsia="方正仿宋_GBK"/>
          <w:sz w:val="28"/>
          <w:szCs w:val="28"/>
        </w:rPr>
      </w:pPr>
      <w:r>
        <w:rPr>
          <w:rFonts w:eastAsia="方正仿宋_GBK"/>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eastAsia="方正楷体_GBK"/>
          <w:b/>
          <w:sz w:val="28"/>
          <w:szCs w:val="28"/>
        </w:rPr>
        <w:t>（二）</w:t>
      </w:r>
      <w:r>
        <w:rPr>
          <w:rFonts w:eastAsia="方正仿宋_GBK"/>
          <w:sz w:val="28"/>
          <w:szCs w:val="28"/>
        </w:rPr>
        <w:t>属于下列情形的，不得参加下一步详评：</w:t>
      </w:r>
    </w:p>
    <w:p>
      <w:pPr>
        <w:spacing w:line="480" w:lineRule="exact"/>
        <w:ind w:leftChars="-1" w:left="-2" w:firstLineChars="221" w:firstLine="619"/>
        <w:rPr>
          <w:rFonts w:eastAsia="方正仿宋_GBK"/>
          <w:sz w:val="28"/>
          <w:szCs w:val="28"/>
        </w:rPr>
      </w:pPr>
      <w:r>
        <w:rPr>
          <w:rFonts w:eastAsia="方正仿宋_GBK"/>
          <w:sz w:val="28"/>
          <w:szCs w:val="28"/>
        </w:rPr>
        <w:t>1.不满足上述响应文件要求（标注必须提供的材料未提交的、提供资料不符合要求的）；</w:t>
      </w:r>
    </w:p>
    <w:p>
      <w:pPr>
        <w:spacing w:line="480" w:lineRule="exact"/>
        <w:ind w:leftChars="-1" w:left="-2" w:firstLineChars="221" w:firstLine="619"/>
        <w:rPr>
          <w:rFonts w:eastAsia="方正仿宋_GBK"/>
          <w:sz w:val="28"/>
          <w:szCs w:val="28"/>
        </w:rPr>
      </w:pPr>
      <w:r>
        <w:rPr>
          <w:rFonts w:eastAsia="方正仿宋_GBK"/>
          <w:sz w:val="28"/>
          <w:szCs w:val="28"/>
        </w:rPr>
        <w:t>2.报价超过预算金额或严重不平衡、不合理、低于其企业成本的；</w:t>
      </w:r>
    </w:p>
    <w:p>
      <w:pPr>
        <w:spacing w:line="480" w:lineRule="exact"/>
        <w:ind w:leftChars="-1" w:left="-2" w:firstLineChars="221" w:firstLine="619"/>
        <w:rPr>
          <w:rFonts w:eastAsia="方正仿宋_GBK"/>
          <w:sz w:val="28"/>
          <w:szCs w:val="28"/>
        </w:rPr>
      </w:pPr>
      <w:r>
        <w:rPr>
          <w:rFonts w:eastAsia="方正仿宋_GBK"/>
          <w:sz w:val="28"/>
          <w:szCs w:val="28"/>
        </w:rPr>
        <w:t>3.《采购公告》中列明无效报价的情形；</w:t>
      </w:r>
    </w:p>
    <w:p>
      <w:pPr>
        <w:spacing w:line="480" w:lineRule="exact"/>
        <w:ind w:firstLineChars="200" w:firstLine="560"/>
        <w:rPr>
          <w:rFonts w:eastAsia="方正仿宋_GBK"/>
          <w:sz w:val="28"/>
          <w:szCs w:val="28"/>
        </w:rPr>
      </w:pPr>
      <w:r>
        <w:rPr>
          <w:rFonts w:eastAsia="方正楷体_GBK"/>
          <w:b/>
          <w:sz w:val="28"/>
          <w:szCs w:val="28"/>
        </w:rPr>
        <w:t xml:space="preserve">（三） </w:t>
      </w:r>
      <w:r>
        <w:rPr>
          <w:rFonts w:eastAsia="方正仿宋_GBK"/>
          <w:sz w:val="28"/>
          <w:szCs w:val="28"/>
        </w:rPr>
        <w:t>报价函与报价明细表的报价不一致时，以报价函价格为准，报价大、小写不一致时，以大写价格为准。</w:t>
      </w:r>
    </w:p>
    <w:p>
      <w:pPr>
        <w:spacing w:line="480" w:lineRule="exact"/>
        <w:ind w:firstLineChars="200" w:firstLine="560"/>
        <w:rPr>
          <w:rFonts w:eastAsia="方正黑体_GBK"/>
          <w:sz w:val="28"/>
          <w:szCs w:val="28"/>
        </w:rPr>
      </w:pPr>
      <w:r>
        <w:rPr>
          <w:rFonts w:eastAsia="方正黑体_GBK"/>
          <w:sz w:val="28"/>
          <w:szCs w:val="28"/>
        </w:rPr>
        <w:t>四、评审方法及评分标准</w:t>
      </w:r>
    </w:p>
    <w:p>
      <w:pPr>
        <w:spacing w:line="480" w:lineRule="exact"/>
        <w:ind w:firstLineChars="228" w:firstLine="638"/>
        <w:rPr>
          <w:rFonts w:eastAsia="方正仿宋_GBK"/>
          <w:sz w:val="28"/>
          <w:szCs w:val="28"/>
        </w:rPr>
      </w:pPr>
      <w:r>
        <w:rPr>
          <w:rFonts w:eastAsia="方正仿宋_GBK"/>
          <w:sz w:val="28"/>
          <w:szCs w:val="28"/>
        </w:rPr>
        <w:t>通过符合性审查的供应商不足3家时，可继续评审。</w:t>
      </w:r>
    </w:p>
    <w:p>
      <w:pPr>
        <w:spacing w:line="480" w:lineRule="exact"/>
        <w:ind w:firstLineChars="228" w:firstLine="638"/>
        <w:rPr>
          <w:rFonts w:eastAsia="方正仿宋_GBK"/>
          <w:sz w:val="28"/>
          <w:szCs w:val="28"/>
        </w:rPr>
      </w:pPr>
      <w:r>
        <w:rPr>
          <w:rFonts w:eastAsia="方正仿宋_GBK"/>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80" w:lineRule="exact"/>
        <w:ind w:firstLineChars="228" w:firstLine="638"/>
        <w:rPr>
          <w:rFonts w:eastAsia="方正黑体_GBK"/>
          <w:strike/>
          <w:dstrike w:val="0"/>
          <w:color w:val="FF0000"/>
          <w:sz w:val="28"/>
          <w:szCs w:val="28"/>
        </w:rPr>
      </w:pPr>
      <w:r>
        <w:rPr>
          <w:rFonts w:eastAsia="方正仿宋_GBK"/>
          <w:color w:val="000000"/>
          <w:sz w:val="28"/>
          <w:szCs w:val="28"/>
        </w:rPr>
        <w:t>属于报价无效情形的，不予澄清。</w:t>
      </w:r>
    </w:p>
    <w:p>
      <w:pPr>
        <w:snapToGrid w:val="0"/>
        <w:spacing w:line="480" w:lineRule="exact"/>
        <w:ind w:firstLineChars="196" w:firstLine="549"/>
        <w:jc w:val="left"/>
        <w:rPr>
          <w:rFonts w:eastAsia="仿宋_GB2312"/>
          <w:b/>
          <w:color w:val="000000"/>
          <w:sz w:val="28"/>
          <w:szCs w:val="28"/>
        </w:rPr>
      </w:pPr>
      <w:r>
        <w:rPr>
          <w:rFonts w:eastAsia="仿宋_GB2312"/>
          <w:b/>
          <w:color w:val="000000"/>
          <w:sz w:val="28"/>
          <w:szCs w:val="28"/>
        </w:rPr>
        <w:t>（一）评审方法</w:t>
      </w:r>
    </w:p>
    <w:p>
      <w:pPr>
        <w:snapToGrid w:val="0"/>
        <w:spacing w:line="480" w:lineRule="exact"/>
        <w:ind w:firstLineChars="200" w:firstLine="560"/>
        <w:jc w:val="left"/>
        <w:rPr>
          <w:rFonts w:eastAsia="仿宋_GB2312"/>
          <w:bCs/>
          <w:color w:val="000000"/>
          <w:sz w:val="28"/>
          <w:szCs w:val="28"/>
        </w:rPr>
      </w:pPr>
      <w:r>
        <w:rPr>
          <w:rFonts w:eastAsia="仿宋_GB2312"/>
          <w:bCs/>
          <w:color w:val="000000"/>
          <w:sz w:val="28"/>
          <w:szCs w:val="28"/>
        </w:rPr>
        <w:t>1.对进入详评的，采用百分制综合评分法。</w:t>
      </w:r>
    </w:p>
    <w:p>
      <w:pPr>
        <w:snapToGrid w:val="0"/>
        <w:spacing w:line="480" w:lineRule="exact"/>
        <w:ind w:firstLineChars="200" w:firstLine="560"/>
        <w:jc w:val="left"/>
        <w:rPr>
          <w:rFonts w:eastAsia="仿宋_GB2312"/>
          <w:bCs/>
          <w:color w:val="000000"/>
          <w:sz w:val="28"/>
          <w:szCs w:val="28"/>
        </w:rPr>
      </w:pPr>
      <w:r>
        <w:rPr>
          <w:rFonts w:eastAsia="仿宋_GB2312"/>
          <w:bCs/>
          <w:color w:val="000000"/>
          <w:sz w:val="28"/>
          <w:szCs w:val="28"/>
        </w:rPr>
        <w:t>2.计分办法（按四舍五入取至小数点后两位）。</w:t>
      </w:r>
    </w:p>
    <w:p>
      <w:pPr>
        <w:spacing w:line="480" w:lineRule="exact"/>
        <w:ind w:firstLineChars="200" w:firstLine="560"/>
        <w:rPr>
          <w:rFonts w:eastAsia="仿宋_GB2312"/>
          <w:b/>
          <w:sz w:val="28"/>
          <w:szCs w:val="28"/>
        </w:rPr>
      </w:pPr>
      <w:r>
        <w:rPr>
          <w:rFonts w:eastAsia="仿宋_GB2312"/>
          <w:b/>
          <w:sz w:val="28"/>
          <w:szCs w:val="28"/>
        </w:rPr>
        <w:t>（二）评分标准</w:t>
      </w:r>
    </w:p>
    <w:tbl>
      <w:tblPr>
        <w:jc w:val="left"/>
        <w:tblInd w:w="-319" w:type="dxa"/>
        <w:tblW w:w="969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26"/>
        <w:gridCol w:w="693"/>
        <w:gridCol w:w="775"/>
        <w:gridCol w:w="7500"/>
      </w:tblGrid>
      <w:tr>
        <w:trPr>
          <w:trHeight w:val="488"/>
        </w:trPr>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序号</w:t>
            </w:r>
          </w:p>
        </w:tc>
        <w:tc>
          <w:tcPr>
            <w:tcW w:w="14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评分项</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bottom"/>
              <w:rPr>
                <w:color w:val="000000"/>
                <w:szCs w:val="21"/>
              </w:rPr>
            </w:pPr>
            <w:r>
              <w:rPr>
                <w:color w:val="000000"/>
                <w:kern w:val="0"/>
                <w:szCs w:val="21"/>
              </w:rPr>
              <w:t>评分标准</w:t>
            </w:r>
          </w:p>
        </w:tc>
      </w:tr>
      <w:tr>
        <w:trPr>
          <w:trHeight w:val="1080"/>
        </w:trPr>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1</w:t>
            </w:r>
          </w:p>
        </w:tc>
        <w:tc>
          <w:tcPr>
            <w:tcW w:w="14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b/>
                <w:color w:val="000000"/>
                <w:szCs w:val="21"/>
              </w:rPr>
            </w:pPr>
            <w:r>
              <w:rPr>
                <w:b/>
                <w:color w:val="000000"/>
                <w:kern w:val="0"/>
                <w:szCs w:val="21"/>
              </w:rPr>
              <w:t>价格部分</w:t>
              <w:br/>
              <w:t>（30分）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8"/>
              <w:spacing w:line="400" w:lineRule="exact"/>
              <w:rPr>
                <w:rFonts w:ascii="Times New Roman" w:hAnsi="Times New Roman"/>
              </w:rPr>
            </w:pPr>
            <w:r>
              <w:rPr>
                <w:rFonts w:ascii="Times New Roman" w:hAnsi="Times New Roman"/>
              </w:rPr>
              <w:t>（1）满足协商谈判文件要求且响应报价最低的报价为基准价，其价格分为30分。</w:t>
            </w:r>
          </w:p>
          <w:p>
            <w:pPr>
              <w:pStyle w:val="21"/>
              <w:spacing w:line="320" w:lineRule="exact"/>
              <w:ind w:firstLineChars="1400" w:firstLine="2940"/>
              <w:rPr>
                <w:rFonts w:ascii="Times New Roman" w:cs="Times New Roman" w:hAnsi="Times New Roman"/>
                <w:sz w:val="21"/>
              </w:rPr>
            </w:pPr>
            <w:r>
              <w:rPr>
                <w:rFonts w:ascii="Times New Roman" w:cs="Times New Roman" w:hAnsi="Times New Roman"/>
                <w:sz w:val="21"/>
                <w:lang w:eastAsia="zh-CN"/>
              </w:rPr>
              <w:t xml:space="preserve">      </w:t>
            </w:r>
            <w:r>
              <w:rPr>
                <w:rFonts w:ascii="Times New Roman" w:cs="Times New Roman" w:hAnsi="Times New Roman"/>
                <w:sz w:val="21"/>
              </w:rPr>
              <w:t>最低</w:t>
            </w:r>
            <w:r>
              <w:rPr>
                <w:rFonts w:ascii="Times New Roman" w:cs="Times New Roman" w:hAnsi="Times New Roman"/>
                <w:sz w:val="21"/>
                <w:lang w:eastAsia="zh-CN"/>
              </w:rPr>
              <w:t>协商</w:t>
            </w:r>
            <w:r>
              <w:rPr>
                <w:rFonts w:ascii="Times New Roman" w:cs="Times New Roman" w:hAnsi="Times New Roman"/>
                <w:sz w:val="21"/>
              </w:rPr>
              <w:t>报价金额（元）</w:t>
            </w:r>
          </w:p>
          <w:p>
            <w:pPr>
              <w:pStyle w:val="18"/>
              <w:spacing w:line="320" w:lineRule="exact"/>
              <w:rPr>
                <w:rFonts w:ascii="Times New Roman" w:hAnsi="Times New Roman"/>
                <w:shd w:val="clear" w:color="auto" w:fill="FFFF00"/>
              </w:rPr>
            </w:pPr>
            <w:r>
              <w:rPr>
                <w:rFonts w:ascii="Times New Roman" w:hAnsi="Times New Roman"/>
              </w:rPr>
              <mc:AlternateContent>
                <mc:Choice Requires="wps">
                  <w:drawing>
                    <wp:anchor distT="0" distB="0" distL="114298" distR="114298" simplePos="0" relativeHeight="12" behindDoc="0" locked="0" layoutInCell="1" hidden="0" allowOverlap="1">
                      <wp:simplePos x="0" y="0"/>
                      <wp:positionH relativeFrom="column">
                        <wp:posOffset>1776095</wp:posOffset>
                      </wp:positionH>
                      <wp:positionV relativeFrom="paragraph">
                        <wp:posOffset>76200</wp:posOffset>
                      </wp:positionV>
                      <wp:extent cx="2197099" cy="0"/>
                      <wp:effectExtent l="0" t="0" r="0" b="0"/>
                      <wp:wrapNone/>
                      <wp:docPr id="1" name="直接连接符 1"/>
                      <wp:cNvGraphicFramePr>
                        <a:graphicFrameLocks noChangeAspect="0"/>
                      </wp:cNvGraphicFramePr>
                      <a:graphic>
                        <a:graphicData uri="http://schemas.microsoft.com/office/word/2010/wordprocessingShape">
                          <wps:wsp>
                            <wps:cNvSpPr/>
                            <wps:spPr>
                              <a:xfrm rot="0">
                                <a:off x="0" y="0"/>
                                <a:ext cx="2197099" cy="0"/>
                              </a:xfrm>
                              <a:prstGeom prst="line"/>
                              <a:noFill/>
                              <a:ln w="9360"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1 2" o:spid="_x0000_s2" from="139.85pt,6.0pt" to="312.84998pt,6.0pt" filled="f" stroked="t" strokeweight="0.73700786pt" style="position:absolute;z-index:12;mso-position-horizontal:absolute;mso-position-vertical:absolute;mso-wrap-distance-left:8.999863pt;mso-wrap-distance-right:8.999863pt;visibility:visible;">
                      <v:stroke color="#000000"/>
                    </v:line>
                  </w:pict>
                </mc:Fallback>
              </mc:AlternateContent>
            </w:r>
            <w:r>
              <w:rPr>
                <w:rFonts w:ascii="Times New Roman" w:hAnsi="Times New Roman"/>
              </w:rPr>
              <w:t>（2）某供应商协商报价分 =                                    ×</w:t>
            </w:r>
            <w:r>
              <w:rPr>
                <w:rFonts w:ascii="Times New Roman" w:hAnsi="Times New Roman"/>
                <w:bCs/>
              </w:rPr>
              <w:t>30分</w:t>
            </w:r>
          </w:p>
          <w:p>
            <w:pPr>
              <w:pStyle w:val="18"/>
              <w:spacing w:line="320" w:lineRule="exact"/>
              <w:ind w:firstLineChars="200" w:firstLine="420"/>
              <w:rPr>
                <w:rFonts w:ascii="Times New Roman" w:hAnsi="Times New Roman"/>
                <w:color w:val="000000"/>
                <w:szCs w:val="21"/>
              </w:rPr>
            </w:pPr>
            <w:r>
              <w:rPr>
                <w:rFonts w:ascii="Times New Roman" w:hAnsi="Times New Roman"/>
                <w:szCs w:val="21"/>
              </w:rPr>
              <w:t xml:space="preserve">                           某供应商协商报价金额（元）</w:t>
            </w:r>
          </w:p>
        </w:tc>
      </w:tr>
      <w:tr>
        <w:trPr>
          <w:trHeight w:val="1267"/>
        </w:trPr>
        <w:tc>
          <w:tcPr>
            <w:tcW w:w="726" w:type="dxa"/>
            <w:vMerge w:val="restart"/>
            <w:tcBorders>
              <w:top w:val="single" w:sz="4" w:space="0" w:color="000000"/>
              <w:left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2</w:t>
            </w:r>
          </w:p>
        </w:tc>
        <w:tc>
          <w:tcPr>
            <w:tcW w:w="693" w:type="dxa"/>
            <w:vMerge w:val="restart"/>
            <w:tcBorders>
              <w:top w:val="single" w:sz="4" w:space="0" w:color="000000"/>
              <w:left w:val="single" w:sz="4" w:space="0" w:color="000000"/>
              <w:right w:val="single" w:sz="4" w:space="0" w:color="auto"/>
            </w:tcBorders>
            <w:shd w:val="clear" w:color="auto" w:fill="auto"/>
            <w:vAlign w:val="center"/>
          </w:tcPr>
          <w:p>
            <w:pPr>
              <w:widowControl/>
              <w:jc w:val="center"/>
              <w:textAlignment w:val="center"/>
              <w:rPr>
                <w:b/>
                <w:bCs/>
              </w:rPr>
            </w:pPr>
            <w:r>
              <w:rPr>
                <w:b/>
                <w:bCs/>
              </w:rPr>
              <w:t>技术分</w:t>
            </w:r>
          </w:p>
          <w:p>
            <w:pPr>
              <w:widowControl/>
              <w:jc w:val="center"/>
              <w:textAlignment w:val="center"/>
              <w:rPr>
                <w:b/>
                <w:color w:val="000000"/>
                <w:szCs w:val="21"/>
              </w:rPr>
            </w:pPr>
            <w:r>
              <w:rPr>
                <w:b/>
                <w:color w:val="000000"/>
                <w:kern w:val="0"/>
                <w:szCs w:val="21"/>
              </w:rPr>
              <w:t>（50分）</w:t>
            </w:r>
          </w:p>
        </w:tc>
        <w:tc>
          <w:tcPr>
            <w:tcW w:w="775"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jc w:val="center"/>
              <w:textAlignment w:val="center"/>
              <w:rPr>
                <w:b/>
                <w:color w:val="000000"/>
                <w:szCs w:val="21"/>
              </w:rPr>
            </w:pPr>
            <w:r>
              <w:rPr>
                <w:b/>
                <w:szCs w:val="21"/>
              </w:rPr>
              <w:t>项目实施方案分</w:t>
            </w:r>
            <w:r>
              <w:rPr>
                <w:b/>
                <w:color w:val="000000"/>
                <w:kern w:val="0"/>
                <w:szCs w:val="21"/>
              </w:rPr>
              <w:t>（30分）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spacing w:line="400" w:lineRule="exact"/>
            </w:pPr>
            <w:r>
              <w:t xml:space="preserve">一档（10 分）: </w:t>
            </w:r>
            <w:r>
              <w:rPr>
                <w:rFonts w:eastAsia="宋体"/>
                <w:szCs w:val="21"/>
              </w:rPr>
              <w:t>基本理解本项目的建设背景、目标、范围，基本把握本项目的技术重点、难点，提出了基本可行的测评方案。</w:t>
            </w:r>
          </w:p>
          <w:p>
            <w:pPr>
              <w:pStyle w:val="26"/>
              <w:keepNext w:val="0"/>
              <w:keepLines w:val="0"/>
              <w:pageBreakBefore w:val="0"/>
              <w:widowControl w:val="0"/>
              <w:kinsoku/>
              <w:wordWrap/>
              <w:overflowPunct/>
              <w:topLinePunct w:val="0"/>
              <w:autoSpaceDE/>
              <w:autoSpaceDN/>
              <w:snapToGrid/>
              <w:spacing w:line="400" w:lineRule="exact"/>
              <w:ind w:left="0"/>
              <w:rPr>
                <w:szCs w:val="21"/>
              </w:rPr>
            </w:pPr>
            <w:r>
              <w:t>二档（20 分）:</w:t>
            </w:r>
            <w:r>
              <w:rPr>
                <w:rFonts w:eastAsia="宋体"/>
                <w:szCs w:val="21"/>
              </w:rPr>
              <w:t>较准确理解本项目的建设背景、目标、范围，能够把握本项目的技术重点、难点，提出了比较可行的测评方案，需求分析具有针对性，技术方案与需求契合度良好。</w:t>
            </w:r>
          </w:p>
          <w:p>
            <w:pPr>
              <w:widowControl/>
              <w:spacing w:line="400" w:lineRule="exact"/>
              <w:jc w:val="left"/>
              <w:textAlignment w:val="center"/>
              <w:rPr>
                <w:color w:val="000000"/>
                <w:kern w:val="0"/>
                <w:sz w:val="22"/>
                <w:szCs w:val="22"/>
              </w:rPr>
            </w:pPr>
            <w:r>
              <w:t>三档（30 分）:</w:t>
            </w:r>
            <w:r>
              <w:rPr>
                <w:rFonts w:eastAsia="宋体"/>
                <w:szCs w:val="21"/>
              </w:rPr>
              <w:t>完全准确理解本项目的建设背景、目标、范围，准确把握本项目的技术重点、难点，提出了详细、完善、全面可行的测评方案。能详细描述投入项目测评的主要内容、提供主要测评设备的型号、测评方法，提供的技术方案最大限度满足招标文件的系统需求，需求分析具有针对性，技术方案与需求契合度高。</w:t>
            </w:r>
          </w:p>
        </w:tc>
      </w:tr>
      <w:tr>
        <w:trPr>
          <w:trHeight w:val="1130"/>
        </w:trPr>
        <w:tc>
          <w:tcPr>
            <w:tcW w:w="446" w:type="dxa"/>
            <w:vMerge/>
            <w:tcBorders>
              <w:left w:val="single" w:sz="4" w:space="0" w:color="000000"/>
              <w:bottom w:val="single" w:sz="4" w:space="0" w:color="000000"/>
              <w:right w:val="single" w:sz="4" w:space="0" w:color="000000"/>
            </w:tcBorders>
            <w:shd w:val="clear" w:color="auto" w:fill="auto"/>
            <w:vAlign w:val="center"/>
          </w:tcPr>
          <w:p/>
        </w:tc>
        <w:tc>
          <w:tcPr>
            <w:tcW w:w="709" w:type="dxa"/>
            <w:vMerge/>
            <w:tcBorders>
              <w:left w:val="single" w:sz="4" w:space="0" w:color="000000"/>
              <w:bottom w:val="single" w:sz="4" w:space="0" w:color="000000"/>
              <w:right w:val="single" w:sz="4" w:space="0" w:color="auto"/>
            </w:tcBorders>
            <w:shd w:val="clear" w:color="auto" w:fill="auto"/>
            <w:vAlign w:val="center"/>
          </w:tcPr>
          <w:p/>
        </w:tc>
        <w:tc>
          <w:tcPr>
            <w:tcW w:w="775"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jc w:val="center"/>
              <w:textAlignment w:val="center"/>
              <w:rPr>
                <w:b/>
                <w:color w:val="000000"/>
                <w:szCs w:val="21"/>
              </w:rPr>
            </w:pPr>
            <w:r>
              <w:rPr>
                <w:b/>
                <w:szCs w:val="21"/>
              </w:rPr>
              <w:t>售后服务方案</w:t>
            </w:r>
          </w:p>
          <w:p>
            <w:pPr>
              <w:widowControl/>
              <w:jc w:val="center"/>
              <w:textAlignment w:val="center"/>
              <w:rPr>
                <w:b/>
                <w:color w:val="000000"/>
                <w:szCs w:val="21"/>
              </w:rPr>
            </w:pPr>
            <w:r>
              <w:rPr>
                <w:b/>
                <w:color w:val="000000"/>
                <w:kern w:val="0"/>
                <w:szCs w:val="21"/>
              </w:rPr>
              <w:t>（20分）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7"/>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lang w:eastAsia="zh-CN"/>
              </w:rPr>
              <w:t>一档（10分）：提供售后服务方案，方案简单，基本满足项目需求。</w:t>
            </w:r>
          </w:p>
          <w:p>
            <w:pPr>
              <w:pStyle w:val="37"/>
              <w:keepNext w:val="0"/>
              <w:keepLines w:val="0"/>
              <w:pageBreakBefore w:val="0"/>
              <w:widowControl w:val="0"/>
              <w:kinsoku/>
              <w:wordWrap/>
              <w:overflowPunct/>
              <w:topLinePunct w:val="0"/>
              <w:autoSpaceDE/>
              <w:autoSpaceDN/>
              <w:snapToGrid/>
              <w:spacing w:line="400" w:lineRule="exact"/>
              <w:ind w:left="0"/>
              <w:rPr>
                <w:szCs w:val="21"/>
              </w:rPr>
            </w:pPr>
            <w:r>
              <w:rPr>
                <w:rFonts w:eastAsia="宋体"/>
                <w:szCs w:val="21"/>
              </w:rPr>
              <w:t>二档（20分）：提供售后服务方案，方案包含有</w:t>
            </w:r>
            <w:r>
              <w:rPr>
                <w:szCs w:val="21"/>
                <w:lang w:eastAsia="zh-CN"/>
              </w:rPr>
              <w:t>服务</w:t>
            </w:r>
            <w:r>
              <w:rPr>
                <w:rFonts w:eastAsia="宋体"/>
                <w:szCs w:val="21"/>
              </w:rPr>
              <w:t>保障方案、</w:t>
            </w:r>
            <w:r>
              <w:rPr>
                <w:szCs w:val="21"/>
                <w:lang w:eastAsia="zh-CN"/>
              </w:rPr>
              <w:t>保密方案、</w:t>
            </w:r>
            <w:r>
              <w:rPr>
                <w:rFonts w:eastAsia="宋体"/>
                <w:szCs w:val="21"/>
              </w:rPr>
              <w:t>售后服务</w:t>
            </w:r>
            <w:r>
              <w:rPr>
                <w:szCs w:val="21"/>
                <w:lang w:eastAsia="zh-CN"/>
              </w:rPr>
              <w:t>响应</w:t>
            </w:r>
            <w:r>
              <w:rPr>
                <w:rFonts w:eastAsia="宋体"/>
                <w:szCs w:val="21"/>
              </w:rPr>
              <w:t>方案，方案可行性强，具有本地化服务能力，指定专人作为项目联系人。</w:t>
            </w:r>
          </w:p>
        </w:tc>
      </w:tr>
      <w:tr>
        <w:trPr>
          <w:trHeight w:val="808"/>
        </w:trPr>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kern w:val="0"/>
                <w:szCs w:val="21"/>
              </w:rPr>
            </w:pPr>
            <w:r>
              <w:rPr>
                <w:color w:val="000000"/>
                <w:kern w:val="0"/>
                <w:szCs w:val="21"/>
              </w:rPr>
              <w:t>3</w:t>
            </w:r>
          </w:p>
        </w:tc>
        <w:tc>
          <w:tcPr>
            <w:tcW w:w="14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b/>
                <w:color w:val="000000"/>
                <w:kern w:val="0"/>
                <w:szCs w:val="21"/>
              </w:rPr>
            </w:pPr>
            <w:r>
              <w:rPr>
                <w:b/>
                <w:bCs/>
              </w:rPr>
              <w:t>商务分</w:t>
            </w:r>
            <w:r>
              <w:rPr>
                <w:b/>
                <w:color w:val="000000"/>
                <w:kern w:val="0"/>
                <w:szCs w:val="21"/>
              </w:rPr>
              <w:t>（20分）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spacing w:line="400" w:lineRule="exact"/>
              <w:rPr>
                <w:b/>
                <w:szCs w:val="21"/>
              </w:rPr>
            </w:pPr>
            <w:r>
              <w:rPr>
                <w:szCs w:val="21"/>
              </w:rPr>
              <w:t>（1）</w:t>
            </w:r>
            <w:r>
              <w:rPr>
                <w:rFonts w:eastAsia="宋体"/>
                <w:szCs w:val="21"/>
                <w:lang w:eastAsia="zh-CN"/>
              </w:rPr>
              <w:t>供应商获得省级以上（含省级）质量技术监督部门颁发的检验检测机构资质认定CMA证书，同时具备</w:t>
            </w:r>
            <w:r>
              <w:rPr>
                <w:szCs w:val="21"/>
                <w:lang w:val="en-US" w:eastAsia="zh-CN"/>
              </w:rPr>
              <w:t>CNAS</w:t>
            </w:r>
            <w:r>
              <w:rPr>
                <w:rFonts w:eastAsia="宋体"/>
                <w:szCs w:val="21"/>
                <w:lang w:eastAsia="zh-CN"/>
              </w:rPr>
              <w:t>服务资质，提供资质证明（复印件加盖公章），得4分。</w:t>
            </w:r>
          </w:p>
          <w:p>
            <w:pPr>
              <w:pStyle w:val="33"/>
              <w:keepNext w:val="0"/>
              <w:keepLines w:val="0"/>
              <w:pageBreakBefore w:val="0"/>
              <w:widowControl w:val="0"/>
              <w:kinsoku/>
              <w:wordWrap/>
              <w:overflowPunct/>
              <w:topLinePunct w:val="0"/>
              <w:autoSpaceDE/>
              <w:autoSpaceDN/>
              <w:bidi w:val="0"/>
              <w:snapToGrid/>
              <w:spacing w:line="400" w:lineRule="exact"/>
              <w:ind w:left="0"/>
              <w:rPr>
                <w:szCs w:val="21"/>
                <w:lang w:val="en-US" w:eastAsia="zh-CN"/>
              </w:rPr>
            </w:pPr>
            <w:r>
              <w:rPr>
                <w:szCs w:val="21"/>
              </w:rPr>
              <w:t>（2）供应商获得省级以上（含省级）科技类奖项，一等奖得3</w:t>
            </w:r>
            <w:r>
              <w:rPr>
                <w:szCs w:val="21"/>
                <w:lang w:val="en-US" w:eastAsia="zh-CN"/>
              </w:rPr>
              <w:t>分，二等奖得2分，三等奖得1分，满分3分。</w:t>
            </w:r>
            <w:r>
              <w:rPr>
                <w:rFonts w:eastAsia="宋体"/>
                <w:szCs w:val="21"/>
              </w:rPr>
              <w:t>（提供证书复印件加盖公章）</w:t>
            </w:r>
          </w:p>
          <w:p>
            <w:pPr>
              <w:pStyle w:val="33"/>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kern w:val="0"/>
                <w:szCs w:val="21"/>
              </w:rPr>
              <w:t>（3）</w:t>
            </w:r>
            <w:r>
              <w:rPr>
                <w:rFonts w:eastAsia="宋体"/>
                <w:szCs w:val="21"/>
              </w:rPr>
              <w:t>供应商具备以下资质证书</w:t>
            </w:r>
            <w:r>
              <w:rPr>
                <w:rFonts w:eastAsia="宋体"/>
                <w:szCs w:val="21"/>
                <w:lang w:eastAsia="zh-CN"/>
              </w:rPr>
              <w:t>（</w:t>
            </w:r>
            <w:r>
              <w:rPr>
                <w:rFonts w:eastAsia="宋体"/>
                <w:szCs w:val="21"/>
              </w:rPr>
              <w:t>2分</w:t>
            </w:r>
            <w:r>
              <w:rPr>
                <w:rFonts w:eastAsia="宋体"/>
                <w:szCs w:val="21"/>
                <w:lang w:eastAsia="zh-CN"/>
              </w:rPr>
              <w:t>）</w:t>
            </w:r>
            <w:r>
              <w:rPr>
                <w:rFonts w:eastAsia="宋体"/>
                <w:szCs w:val="21"/>
              </w:rPr>
              <w:t>：</w:t>
            </w:r>
          </w:p>
          <w:p>
            <w:pPr>
              <w:pStyle w:val="33"/>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rPr>
              <w:t>⑴</w:t>
            </w:r>
            <w:r>
              <w:rPr>
                <w:rFonts w:eastAsia="宋体"/>
                <w:szCs w:val="21"/>
                <w:lang w:val="en-US" w:eastAsia="zh-CN"/>
              </w:rPr>
              <w:t xml:space="preserve"> </w:t>
            </w:r>
            <w:r>
              <w:rPr>
                <w:rFonts w:eastAsia="宋体"/>
                <w:szCs w:val="21"/>
              </w:rPr>
              <w:t>GB/T 22080-2016/1SO/IEC 27001:2013信息安全管理体系认证证书；</w:t>
            </w:r>
          </w:p>
          <w:p>
            <w:pPr>
              <w:pStyle w:val="33"/>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rPr>
              <w:t>⑵</w:t>
            </w:r>
            <w:r>
              <w:rPr>
                <w:rFonts w:eastAsia="宋体"/>
                <w:szCs w:val="21"/>
                <w:lang w:val="en-US" w:eastAsia="zh-CN"/>
              </w:rPr>
              <w:t xml:space="preserve"> </w:t>
            </w:r>
            <w:r>
              <w:rPr>
                <w:rFonts w:eastAsia="宋体"/>
                <w:szCs w:val="21"/>
              </w:rPr>
              <w:t>GB/T 19001-2016/1SO 9001:2015质量管理体系认证证书；</w:t>
            </w:r>
          </w:p>
          <w:p>
            <w:pPr>
              <w:pStyle w:val="33"/>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rPr>
              <w:t>⑶</w:t>
            </w:r>
            <w:r>
              <w:rPr>
                <w:rFonts w:eastAsia="宋体"/>
                <w:szCs w:val="21"/>
                <w:lang w:val="en-US" w:eastAsia="zh-CN"/>
              </w:rPr>
              <w:t xml:space="preserve"> </w:t>
            </w:r>
            <w:r>
              <w:rPr>
                <w:rFonts w:eastAsia="宋体"/>
                <w:szCs w:val="21"/>
              </w:rPr>
              <w:t>GB/T 24001-2016/ISO 14001:2015 环境管理体系认证证书；</w:t>
            </w:r>
          </w:p>
          <w:p>
            <w:pPr>
              <w:pStyle w:val="33"/>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rPr>
              <w:t>⑷</w:t>
            </w:r>
            <w:r>
              <w:rPr>
                <w:rFonts w:eastAsia="宋体"/>
                <w:szCs w:val="21"/>
                <w:lang w:val="en-US" w:eastAsia="zh-CN"/>
              </w:rPr>
              <w:t xml:space="preserve"> </w:t>
            </w:r>
            <w:r>
              <w:rPr>
                <w:rFonts w:eastAsia="宋体"/>
                <w:szCs w:val="21"/>
              </w:rPr>
              <w:t>GB/T 45001-2020/1SO 45001:2018 职业健康安全管理体系认证。</w:t>
            </w:r>
          </w:p>
          <w:p>
            <w:pPr>
              <w:pStyle w:val="33"/>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rPr>
              <w:t>上述每提供一种体系认证得0.5分，满分2分。（提供证书复印件并加盖公章）</w:t>
            </w:r>
          </w:p>
          <w:p>
            <w:pPr>
              <w:pStyle w:val="34"/>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rPr>
              <w:t>（4）供应商拟投入项目负责人为高级测评师并具有高级职称，且具有国家信息安全认证中心（CISAW）信息安全保障专业级认证证书</w:t>
            </w:r>
            <w:bookmarkStart w:id="0" w:name="_GoBack"/>
            <w:bookmarkEnd w:id="0"/>
            <w:r>
              <w:rPr>
                <w:rFonts w:eastAsia="宋体"/>
                <w:szCs w:val="21"/>
              </w:rPr>
              <w:t>，并取得了注册网络安全渗透评估专业人员（NSATP-A)证书，并通过商用密码应用安全性评估人员考核，得</w:t>
            </w:r>
            <w:r>
              <w:rPr>
                <w:szCs w:val="21"/>
                <w:lang w:val="en-US" w:eastAsia="zh-CN"/>
              </w:rPr>
              <w:t>3</w:t>
            </w:r>
            <w:r>
              <w:rPr>
                <w:rFonts w:eastAsia="宋体"/>
                <w:szCs w:val="21"/>
              </w:rPr>
              <w:t>分（提供证书复印件加盖公章）。</w:t>
            </w:r>
          </w:p>
          <w:p>
            <w:pPr>
              <w:pStyle w:val="35"/>
              <w:keepNext w:val="0"/>
              <w:keepLines w:val="0"/>
              <w:pageBreakBefore w:val="0"/>
              <w:widowControl w:val="0"/>
              <w:kinsoku/>
              <w:wordWrap/>
              <w:overflowPunct/>
              <w:topLinePunct w:val="0"/>
              <w:autoSpaceDE/>
              <w:autoSpaceDN/>
              <w:bidi w:val="0"/>
              <w:snapToGrid/>
              <w:spacing w:line="400" w:lineRule="exact"/>
              <w:ind w:left="0"/>
              <w:rPr>
                <w:rFonts w:eastAsia="宋体"/>
                <w:szCs w:val="21"/>
              </w:rPr>
            </w:pPr>
            <w:r>
              <w:rPr>
                <w:rFonts w:eastAsia="宋体"/>
                <w:szCs w:val="21"/>
              </w:rPr>
              <w:t>（5）供应商拟投入的实施人员，具有中级及以上测评师证书，且通过商用密码应用安全性评估人员考核，且具有国家信息安全认证中心（CISAW）信息安全保障认证证书并具有高级职称</w:t>
            </w:r>
            <w:r>
              <w:rPr>
                <w:rFonts w:eastAsia="宋体"/>
                <w:szCs w:val="21"/>
                <w:lang w:eastAsia="zh-CN"/>
              </w:rPr>
              <w:t>，</w:t>
            </w:r>
            <w:r>
              <w:rPr>
                <w:rFonts w:eastAsia="宋体"/>
                <w:szCs w:val="21"/>
              </w:rPr>
              <w:t>每人计2分。具有中级及以上测评师证书，且通过商用密码应用安全性评估人员考核，且具有国家信息安全认证中心（CISAW）信息安全保障认证证书并具有中级职称。每人计1分。项目负责人证书不计入实施人员证书中；满分</w:t>
            </w:r>
            <w:r>
              <w:rPr>
                <w:szCs w:val="21"/>
                <w:lang w:val="en-US" w:eastAsia="zh-CN"/>
              </w:rPr>
              <w:t>4</w:t>
            </w:r>
            <w:r>
              <w:rPr>
                <w:rFonts w:eastAsia="宋体"/>
                <w:szCs w:val="21"/>
              </w:rPr>
              <w:t>分（提供证书复印件加盖公章）。</w:t>
            </w:r>
          </w:p>
          <w:p>
            <w:pPr>
              <w:pStyle w:val="36"/>
              <w:keepNext w:val="0"/>
              <w:keepLines w:val="0"/>
              <w:pageBreakBefore w:val="0"/>
              <w:widowControl w:val="0"/>
              <w:kinsoku/>
              <w:wordWrap/>
              <w:overflowPunct/>
              <w:topLinePunct w:val="0"/>
              <w:autoSpaceDE/>
              <w:autoSpaceDN/>
              <w:snapToGrid/>
              <w:spacing w:line="400" w:lineRule="exact"/>
              <w:ind w:left="0"/>
              <w:rPr>
                <w:szCs w:val="21"/>
              </w:rPr>
            </w:pPr>
            <w:r>
              <w:rPr>
                <w:rFonts w:eastAsia="宋体"/>
                <w:szCs w:val="21"/>
              </w:rPr>
              <w:t>（6）</w:t>
            </w:r>
            <w:r>
              <w:rPr>
                <w:szCs w:val="21"/>
                <w:lang w:eastAsia="zh-CN"/>
              </w:rPr>
              <w:t>供应商</w:t>
            </w:r>
            <w:r>
              <w:rPr>
                <w:rFonts w:eastAsia="宋体"/>
                <w:szCs w:val="21"/>
              </w:rPr>
              <w:t>拟投入</w:t>
            </w:r>
            <w:r>
              <w:rPr>
                <w:rFonts w:eastAsia="宋体"/>
                <w:szCs w:val="21"/>
                <w:lang w:eastAsia="zh-CN"/>
              </w:rPr>
              <w:t>项目人员</w:t>
            </w:r>
            <w:r>
              <w:rPr>
                <w:rFonts w:eastAsia="宋体"/>
                <w:szCs w:val="21"/>
              </w:rPr>
              <w:t>具有</w:t>
            </w:r>
            <w:r>
              <w:rPr>
                <w:rFonts w:eastAsia="宋体"/>
                <w:szCs w:val="21"/>
                <w:lang w:eastAsia="zh-CN"/>
              </w:rPr>
              <w:t>高级职称并在</w:t>
            </w:r>
            <w:r>
              <w:rPr>
                <w:rFonts w:eastAsia="宋体"/>
                <w:szCs w:val="21"/>
              </w:rPr>
              <w:t>国家保密部门涉密信息测评培训并取得结业证书</w:t>
            </w:r>
            <w:r>
              <w:rPr>
                <w:rFonts w:eastAsia="宋体"/>
                <w:szCs w:val="21"/>
                <w:lang w:val="zh-CN"/>
              </w:rPr>
              <w:t>，每人计</w:t>
            </w:r>
            <w:r>
              <w:rPr>
                <w:rFonts w:eastAsia="宋体"/>
                <w:szCs w:val="21"/>
                <w:lang w:val="en-US" w:eastAsia="zh-CN"/>
              </w:rPr>
              <w:t>2</w:t>
            </w:r>
            <w:r>
              <w:rPr>
                <w:rFonts w:eastAsia="宋体"/>
                <w:szCs w:val="21"/>
              </w:rPr>
              <w:t>分</w:t>
            </w:r>
            <w:r>
              <w:rPr>
                <w:rFonts w:eastAsia="宋体"/>
                <w:szCs w:val="21"/>
                <w:lang w:val="en-US" w:eastAsia="zh-CN"/>
              </w:rPr>
              <w:t>，</w:t>
            </w:r>
            <w:r>
              <w:rPr>
                <w:rFonts w:eastAsia="宋体"/>
                <w:szCs w:val="21"/>
              </w:rPr>
              <w:t>满分</w:t>
            </w:r>
            <w:r>
              <w:rPr>
                <w:rFonts w:eastAsia="宋体"/>
                <w:szCs w:val="21"/>
                <w:lang w:val="en-US" w:eastAsia="zh-CN"/>
              </w:rPr>
              <w:t>4</w:t>
            </w:r>
            <w:r>
              <w:rPr>
                <w:rFonts w:eastAsia="宋体"/>
                <w:szCs w:val="21"/>
              </w:rPr>
              <w:t>分（提供证书复印件加盖公章）。</w:t>
            </w:r>
          </w:p>
        </w:tc>
      </w:tr>
    </w:tbl>
    <w:p>
      <w:pPr>
        <w:snapToGrid w:val="0"/>
        <w:spacing w:line="480" w:lineRule="exact"/>
        <w:ind w:firstLineChars="196" w:firstLine="549"/>
        <w:jc w:val="left"/>
        <w:rPr>
          <w:rFonts w:eastAsia="仿宋_GB2312"/>
          <w:b/>
          <w:sz w:val="28"/>
          <w:szCs w:val="28"/>
        </w:rPr>
      </w:pPr>
      <w:r>
        <w:rPr>
          <w:rFonts w:eastAsia="仿宋_GB2312"/>
          <w:b/>
          <w:sz w:val="28"/>
          <w:szCs w:val="28"/>
        </w:rPr>
        <w:t>（三）成交候选人确定/推荐原则</w:t>
      </w:r>
    </w:p>
    <w:p>
      <w:pPr>
        <w:snapToGrid w:val="0"/>
        <w:spacing w:line="480" w:lineRule="exact"/>
        <w:ind w:firstLineChars="200" w:firstLine="560"/>
        <w:jc w:val="left"/>
        <w:rPr>
          <w:rFonts w:eastAsia="方正仿宋_GBK"/>
          <w:color w:val="000000"/>
          <w:sz w:val="28"/>
          <w:szCs w:val="28"/>
        </w:rPr>
      </w:pPr>
      <w:r>
        <w:rPr>
          <w:rFonts w:eastAsia="方正仿宋_GBK"/>
          <w:color w:val="000000"/>
          <w:sz w:val="28"/>
          <w:szCs w:val="28"/>
        </w:rPr>
        <w:t>评审小组将按总得分由高到低排列成交候选供应商顺序（总得分相同时，依次按投标报价低优先、技术分高优先、质量保证期长优先、提交服务成果时间短优先、处理问题到达时间短优先的顺序排列），并依照次序确定/推荐成交候选人。</w:t>
      </w:r>
    </w:p>
    <w:p>
      <w:pPr>
        <w:spacing w:line="480" w:lineRule="exact"/>
        <w:ind w:firstLine="630"/>
        <w:rPr>
          <w:rFonts w:eastAsia="方正仿宋_GBK"/>
          <w:sz w:val="28"/>
          <w:szCs w:val="28"/>
        </w:rPr>
      </w:pPr>
      <w:r>
        <w:rPr>
          <w:rFonts w:eastAsia="方正黑体_GBK"/>
          <w:color w:val="000000"/>
          <w:sz w:val="28"/>
          <w:szCs w:val="28"/>
        </w:rPr>
        <w:t>六、评审地点</w:t>
      </w:r>
      <w:r>
        <w:rPr>
          <w:rFonts w:eastAsia="方正仿宋_GBK"/>
          <w:color w:val="000000"/>
          <w:sz w:val="28"/>
          <w:szCs w:val="28"/>
        </w:rPr>
        <w:t>：南宁海关滨湖办公区0702评</w:t>
      </w:r>
      <w:r>
        <w:rPr>
          <w:rFonts w:eastAsia="方正仿宋_GBK"/>
          <w:sz w:val="28"/>
          <w:szCs w:val="28"/>
        </w:rPr>
        <w:t>审室。</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方正仿宋_GBK"/>
    <w:panose1 w:val="02010609030101010101"/>
    <w:charset w:val="86"/>
    <w:family w:val="modern"/>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华文细黑"/>
    <w:panose1 w:val="02010600040101010101"/>
    <w:charset w:val="86"/>
    <w:family w:val="auto"/>
    <w:pitch w:val="variable"/>
    <w:sig w:usb0="00000287" w:usb1="080F0000" w:usb2="00000000" w:usb3="00000000" w:csb0="0004009F" w:csb1="DFD70000"/>
  </w:font>
  <w:font w:name="Courier New">
    <w:altName w:val="DejaVu Sans"/>
    <w:panose1 w:val="02070309020205020404"/>
    <w:charset w:val="00"/>
    <w:family w:val="modern"/>
    <w:pitch w:val="variable"/>
    <w:sig w:usb0="E0002AFF" w:usb1="C0007843" w:usb2="00000009" w:usb3="00000000" w:csb0="000001FF" w:csb1="00000000"/>
  </w:font>
  <w:font w:name="微软雅黑">
    <w:altName w:val="华文细黑"/>
    <w:panose1 w:val="020B0503020204020204"/>
    <w:charset w:val="86"/>
    <w:family w:val="swiss"/>
    <w:pitch w:val="variable"/>
    <w:sig w:usb0="80000287" w:usb1="280F3C52" w:usb2="00000016" w:usb3="00000000" w:csb0="0004001F" w:csb1="00000000"/>
  </w:font>
  <w:font w:name="Calibri">
    <w:altName w:val="Times New Roman"/>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43"/>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纯文本1"/>
    <w:basedOn w:val="0"/>
    <w:next w:val="0"/>
    <w:pPr>
      <w:widowControl w:val="0"/>
      <w:suppressAutoHyphens/>
    </w:pPr>
    <w:rPr>
      <w:rFonts w:ascii="宋体" w:cs="Calibri"/>
      <w:sz w:val="20"/>
      <w:szCs w:val="21"/>
      <w:lang w:eastAsia="ar-SA"/>
    </w:rPr>
  </w:style>
  <w:style w:type="paragraph" w:customStyle="1" w:styleId="22">
    <w:name w:val="样式 21 10 磅"/>
    <w:next w:val="20"/>
    <w:pPr>
      <w:widowControl w:val="0"/>
      <w:jc w:val="both"/>
    </w:pPr>
    <w:rPr>
      <w:rFonts w:ascii="Times New Roman" w:eastAsia="宋体" w:cs="Times New Roman" w:hAnsi="Times New Roman"/>
      <w:kern w:val="2"/>
      <w:sz w:val="21"/>
      <w:szCs w:val="24"/>
      <w:lang w:val="en-US" w:eastAsia="zh-CN" w:bidi="ar-SA"/>
    </w:rPr>
  </w:style>
  <w:style w:type="paragraph" w:styleId="23">
    <w:name w:val="annotation text"/>
    <w:basedOn w:val="0"/>
    <w:pPr>
      <w:jc w:val="left"/>
    </w:pPr>
  </w:style>
  <w:style w:type="paragraph" w:styleId="24">
    <w:name w:val="annotation subject"/>
    <w:basedOn w:val="23"/>
    <w:next w:val="23"/>
    <w:rPr>
      <w:b/>
      <w:bCs/>
    </w:rPr>
  </w:style>
  <w:style w:type="paragraph" w:customStyle="1" w:styleId="25">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2 10 磅"/>
    <w:pPr>
      <w:widowControl w:val="0"/>
      <w:jc w:val="both"/>
    </w:pPr>
    <w:rPr>
      <w:rFonts w:ascii="Times New Roman" w:eastAsia="宋体" w:cs="Times New Roman" w:hAnsi="Times New Roman"/>
      <w:kern w:val="2"/>
      <w:sz w:val="21"/>
      <w:szCs w:val="24"/>
      <w:lang w:val="en-US" w:eastAsia="zh-CN" w:bidi="ar-SA"/>
    </w:rPr>
  </w:style>
  <w:style w:type="character" w:styleId="38">
    <w:name w:val="HTML Keyboard"/>
    <w:basedOn w:val="10"/>
    <w:rPr>
      <w:rFonts w:ascii="Courier New" w:hAnsi="Courier New"/>
      <w:sz w:val="20"/>
      <w:szCs w:val="20"/>
    </w:rPr>
  </w:style>
  <w:style w:type="paragraph" w:customStyle="1" w:styleId="39">
    <w:name w:val="样式 17 10 磅"/>
    <w:pPr>
      <w:widowControl w:val="0"/>
      <w:jc w:val="both"/>
    </w:pPr>
    <w:rPr>
      <w:rFonts w:ascii="Calibri" w:eastAsia="宋体" w:cs="Arial" w:hAnsi="Calibri"/>
      <w:kern w:val="2"/>
      <w:sz w:val="21"/>
      <w:szCs w:val="22"/>
      <w:lang w:val="en-US" w:eastAsia="zh-CN" w:bidi="ar-SA"/>
    </w:rPr>
  </w:style>
  <w:style w:type="paragraph" w:customStyle="1" w:styleId="40">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41">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154">
    <w:name w:val="样式 16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FC539880-09CF-4DCA-8CBC-8EBDE14FA6A6}">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457</TotalTime>
  <Application>Yozo_Office27021597764231179</Application>
  <Pages>4</Pages>
  <Words>0</Words>
  <Characters>1945</Characters>
  <Lines>0</Lines>
  <Paragraphs>41</Paragraphs>
  <CharactersWithSpaces>2594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ghzx</cp:lastModifiedBy>
  <cp:revision>21</cp:revision>
  <cp:lastPrinted>2022-04-12T09:32:00Z</cp:lastPrinted>
  <dcterms:created xsi:type="dcterms:W3CDTF">2022-08-23T09:15:00Z</dcterms:created>
  <dcterms:modified xsi:type="dcterms:W3CDTF">2025-10-27T07:46:12Z</dcterms:modified>
</cp:coreProperties>
</file>