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宋体"/>
          <w:sz w:val="32"/>
          <w:szCs w:val="32"/>
        </w:rPr>
      </w:pPr>
      <w:r>
        <w:rPr>
          <w:rFonts w:ascii="方正黑体_GBK" w:eastAsia="方正黑体_GBK" w:cs="宋体" w:hint="eastAsia"/>
          <w:sz w:val="32"/>
          <w:szCs w:val="32"/>
        </w:rPr>
        <w:t>附件</w:t>
      </w:r>
      <w:r>
        <w:rPr>
          <w:rFonts w:ascii="方正黑体_GBK" w:eastAsia="方正黑体_GBK" w:cs="宋体"/>
          <w:sz w:val="32"/>
          <w:szCs w:val="32"/>
        </w:rPr>
        <w:t>1</w:t>
      </w:r>
    </w:p>
    <w:p>
      <w:pPr>
        <w:spacing w:line="560" w:lineRule="exact"/>
        <w:jc w:val="center"/>
        <w:rPr>
          <w:rFonts w:ascii="方正小标宋_GBK" w:eastAsia="方正小标宋_GBK" w:cs="宋体"/>
          <w:sz w:val="44"/>
          <w:szCs w:val="44"/>
        </w:rPr>
      </w:pPr>
      <w:r>
        <w:rPr>
          <w:rFonts w:ascii="方正小标宋_GBK" w:eastAsia="方正小标宋_GBK" w:cs="宋体" w:hint="eastAsia"/>
          <w:sz w:val="44"/>
          <w:szCs w:val="44"/>
        </w:rPr>
        <w:t>南宁海关国产化平台运维管理服务</w:t>
      </w:r>
    </w:p>
    <w:p>
      <w:pPr>
        <w:spacing w:line="560" w:lineRule="exact"/>
        <w:jc w:val="center"/>
        <w:rPr>
          <w:rFonts w:ascii="方正小标宋_GBK" w:eastAsia="方正小标宋_GBK" w:cs="宋体"/>
          <w:sz w:val="44"/>
          <w:szCs w:val="44"/>
        </w:rPr>
      </w:pPr>
      <w:r>
        <w:rPr>
          <w:rFonts w:ascii="方正小标宋_GBK" w:eastAsia="方正小标宋_GBK" w:cs="宋体"/>
          <w:sz w:val="44"/>
          <w:szCs w:val="44"/>
        </w:rPr>
        <w:t>采购需求</w:t>
      </w:r>
    </w:p>
    <w:p>
      <w:pPr>
        <w:spacing w:line="560" w:lineRule="exact"/>
        <w:ind w:firstLineChars="200" w:firstLine="640"/>
        <w:rPr>
          <w:rFonts w:ascii="方正黑体_GBK" w:eastAsia="方正黑体_GBK"/>
          <w:sz w:val="32"/>
          <w:szCs w:val="32"/>
        </w:rPr>
      </w:pPr>
    </w:p>
    <w:p>
      <w:pPr>
        <w:spacing w:line="560" w:lineRule="exact"/>
        <w:ind w:firstLineChars="200" w:firstLine="640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/>
          <w:sz w:val="32"/>
          <w:szCs w:val="32"/>
        </w:rPr>
        <w:t>一</w:t>
      </w:r>
      <w:r>
        <w:rPr>
          <w:rFonts w:ascii="方正黑体_GBK" w:eastAsia="方正黑体_GBK" w:hint="eastAsia"/>
          <w:sz w:val="32"/>
          <w:szCs w:val="32"/>
        </w:rPr>
        <w:t>、运维服务需求</w:t>
      </w:r>
    </w:p>
    <w:p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南宁海关国产化平台运维管理服务</w:t>
      </w:r>
      <w:r>
        <w:rPr>
          <w:rFonts w:ascii="Times New Roman" w:eastAsia="方正仿宋_GBK" w:cs="宋体" w:hAnsi="Times New Roman" w:hint="eastAsia"/>
          <w:sz w:val="32"/>
          <w:szCs w:val="32"/>
        </w:rPr>
        <w:t>具体</w:t>
      </w:r>
      <w:r>
        <w:rPr>
          <w:rFonts w:ascii="Times New Roman" w:eastAsia="方正仿宋_GBK" w:hAnsi="Times New Roman" w:hint="eastAsia"/>
          <w:sz w:val="32"/>
          <w:szCs w:val="32"/>
        </w:rPr>
        <w:t>内容包括：</w:t>
      </w:r>
    </w:p>
    <w:tbl>
      <w:tblPr>
        <w:jc w:val="center"/>
        <w:tblW w:w="9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522"/>
        <w:gridCol w:w="2340"/>
        <w:gridCol w:w="4565"/>
      </w:tblGrid>
      <w:tr>
        <w:trPr>
          <w:trHeight w:val="630"/>
        </w:trPr>
        <w:tc>
          <w:tcPr>
            <w:tcW w:w="704" w:type="dxa"/>
            <w:vAlign w:val="center"/>
          </w:tcPr>
          <w:p>
            <w:pPr>
              <w:widowControl/>
              <w:jc w:val="center"/>
              <w:rPr>
                <w:rFonts w:ascii="Times New Roman" w:eastAsia="方正仿宋_GBK" w:cs="Times New Roman" w:hAnsi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522" w:type="dxa"/>
            <w:vAlign w:val="center"/>
          </w:tcPr>
          <w:p>
            <w:pPr>
              <w:widowControl/>
              <w:jc w:val="center"/>
              <w:rPr>
                <w:rFonts w:ascii="Times New Roman" w:eastAsia="方正仿宋_GBK" w:cs="Times New Roman" w:hAnsi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b/>
                <w:bCs/>
                <w:color w:val="000000"/>
                <w:kern w:val="0"/>
                <w:sz w:val="32"/>
                <w:szCs w:val="32"/>
              </w:rPr>
              <w:t>服务名称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jc w:val="center"/>
              <w:rPr>
                <w:rFonts w:ascii="Times New Roman" w:eastAsia="方正仿宋_GBK" w:cs="Times New Roman" w:hAnsi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b/>
                <w:bCs/>
                <w:color w:val="000000"/>
                <w:kern w:val="0"/>
                <w:sz w:val="32"/>
                <w:szCs w:val="32"/>
              </w:rPr>
              <w:t>服务目标</w:t>
            </w:r>
          </w:p>
        </w:tc>
        <w:tc>
          <w:tcPr>
            <w:tcW w:w="4565" w:type="dxa"/>
            <w:vAlign w:val="center"/>
          </w:tcPr>
          <w:p>
            <w:pPr>
              <w:widowControl/>
              <w:jc w:val="center"/>
              <w:rPr>
                <w:rFonts w:ascii="Times New Roman" w:eastAsia="方正仿宋_GBK" w:cs="Times New Roman" w:hAnsi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b/>
                <w:bCs/>
                <w:color w:val="000000"/>
                <w:kern w:val="0"/>
                <w:sz w:val="32"/>
                <w:szCs w:val="32"/>
              </w:rPr>
              <w:t>服务内容</w:t>
            </w:r>
          </w:p>
        </w:tc>
      </w:tr>
      <w:tr>
        <w:trPr>
          <w:trHeight w:val="715"/>
        </w:trPr>
        <w:tc>
          <w:tcPr>
            <w:tcW w:w="704" w:type="dxa"/>
            <w:vAlign w:val="center"/>
          </w:tcPr>
          <w:p>
            <w:pPr>
              <w:widowControl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  <w:t>日常维护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  <w:t>完成日常虚拟机配置、快照备份、异常进程处理、资源优化等日常维护操作，确保系统的正常运行。</w:t>
            </w:r>
          </w:p>
        </w:tc>
        <w:tc>
          <w:tcPr>
            <w:tcW w:w="4565" w:type="dxa"/>
            <w:vAlign w:val="center"/>
          </w:tcPr>
          <w:p>
            <w:pPr>
              <w:widowControl/>
              <w:jc w:val="left"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  <w:t>日常维护内容包括但不仅限于以下内容：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  <w:t>提供合同期内1人5*8小时驻场运维服务；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  <w:t>对虚拟机进行配置</w:t>
            </w: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32"/>
                <w:szCs w:val="32"/>
              </w:rPr>
              <w:t>。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  <w:t>对虚拟机进行快照备份；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  <w:t>对异常进程进行终止等操作；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  <w:t>对虚拟机进行重启操作；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  <w:t>对虚拟机垃圾数据进行清除；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  <w:t>对业虚拟机定期进行资源优化配置</w:t>
            </w: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32"/>
                <w:szCs w:val="32"/>
              </w:rPr>
              <w:t>。</w:t>
            </w:r>
          </w:p>
        </w:tc>
      </w:tr>
      <w:tr>
        <w:trPr>
          <w:trHeight w:val="1255"/>
        </w:trPr>
        <w:tc>
          <w:tcPr>
            <w:tcW w:w="704" w:type="dxa"/>
            <w:vAlign w:val="center"/>
          </w:tcPr>
          <w:p>
            <w:pPr>
              <w:widowControl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  <w:t>系统巡检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  <w:t>检查系统功能模块运行情况，确保正常访问。</w:t>
            </w:r>
          </w:p>
        </w:tc>
        <w:tc>
          <w:tcPr>
            <w:tcW w:w="4565" w:type="dxa"/>
            <w:vAlign w:val="center"/>
          </w:tcPr>
          <w:p>
            <w:pPr>
              <w:widowControl/>
              <w:numPr>
                <w:ilvl w:val="0"/>
                <w:numId w:val="2"/>
              </w:numPr>
              <w:jc w:val="left"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  <w:t>日常巡检：定期开展虚拟机巡检，不少于每天1次；</w:t>
            </w:r>
          </w:p>
          <w:p>
            <w:pPr>
              <w:widowControl/>
              <w:numPr>
                <w:ilvl w:val="0"/>
                <w:numId w:val="2"/>
              </w:numPr>
              <w:jc w:val="left"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  <w:t>巡检内容包括但不限于以下内容：</w:t>
            </w:r>
          </w:p>
          <w:p>
            <w:pPr>
              <w:widowControl/>
              <w:numPr>
                <w:ilvl w:val="0"/>
                <w:numId w:val="3"/>
              </w:numPr>
              <w:ind w:left="364" w:hangingChars="114" w:hanging="364"/>
              <w:jc w:val="left"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  <w:t>虚拟机健康度检查：虚拟机功能健康度检查；后台异常进程检查；系统日志分析；关键进程及资源消耗分析；虚拟机缺陷的发现及上报；</w:t>
            </w:r>
          </w:p>
          <w:p>
            <w:pPr>
              <w:widowControl/>
              <w:numPr>
                <w:ilvl w:val="0"/>
                <w:numId w:val="3"/>
              </w:numPr>
              <w:ind w:left="364" w:hangingChars="114" w:hanging="364"/>
              <w:jc w:val="left"/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  <w:t>协助安全检查：配合做好</w:t>
            </w:r>
            <w:r>
              <w:rPr>
                <w:rFonts w:ascii="Times New Roman" w:eastAsia="方正仿宋_GBK" w:cs="Times New Roman" w:hAnsi="Times New Roman" w:hint="eastAsia"/>
                <w:color w:val="000000"/>
                <w:sz w:val="32"/>
                <w:szCs w:val="32"/>
              </w:rPr>
              <w:t>国产化</w:t>
            </w:r>
            <w:r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  <w:t>平台虚拟机、服务器漏洞检查及修复</w:t>
            </w:r>
            <w:r>
              <w:rPr>
                <w:rFonts w:ascii="Times New Roman" w:eastAsia="方正仿宋_GBK" w:cs="Times New Roman" w:hAnsi="Times New Roman" w:hint="eastAsia"/>
                <w:color w:val="000000"/>
                <w:sz w:val="32"/>
                <w:szCs w:val="32"/>
              </w:rPr>
              <w:t>。</w:t>
            </w:r>
          </w:p>
        </w:tc>
      </w:tr>
      <w:tr>
        <w:trPr>
          <w:trHeight w:val="1255"/>
        </w:trPr>
        <w:tc>
          <w:tcPr>
            <w:tcW w:w="704" w:type="dxa"/>
            <w:vAlign w:val="center"/>
          </w:tcPr>
          <w:p>
            <w:pPr>
              <w:widowControl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  <w:t>故障处置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  <w:t>对</w:t>
            </w:r>
            <w:r>
              <w:rPr>
                <w:rFonts w:ascii="Times New Roman" w:eastAsia="方正仿宋_GBK" w:cs="Times New Roman" w:hAnsi="Times New Roman" w:hint="eastAsia"/>
                <w:color w:val="000000"/>
                <w:sz w:val="32"/>
                <w:szCs w:val="32"/>
              </w:rPr>
              <w:t>国产化</w:t>
            </w:r>
            <w:r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  <w:t>平台系统告警、巡检发现的系统故障进行处理，确保云平台安全稳定运行。</w:t>
            </w:r>
          </w:p>
        </w:tc>
        <w:tc>
          <w:tcPr>
            <w:tcW w:w="4565" w:type="dxa"/>
            <w:vAlign w:val="center"/>
          </w:tcPr>
          <w:p>
            <w:pPr>
              <w:numPr>
                <w:ilvl w:val="0"/>
                <w:numId w:val="4"/>
              </w:numPr>
              <w:jc w:val="left"/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  <w:t>对平台告警信息分析、巡视发现的系统故障分析；</w:t>
            </w:r>
          </w:p>
          <w:p>
            <w:pPr>
              <w:numPr>
                <w:ilvl w:val="0"/>
                <w:numId w:val="4"/>
              </w:numPr>
              <w:jc w:val="left"/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  <w:t>配合采购方开展故障定位、原因分析、制定故障解决方案；</w:t>
            </w:r>
          </w:p>
          <w:p>
            <w:pPr>
              <w:numPr>
                <w:ilvl w:val="0"/>
                <w:numId w:val="4"/>
              </w:numPr>
              <w:jc w:val="left"/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  <w:t>按维护服务响应要求做好故障处理，保障系统恢复</w:t>
            </w:r>
            <w:r>
              <w:rPr>
                <w:rFonts w:ascii="Times New Roman" w:eastAsia="方正仿宋_GBK" w:cs="Times New Roman" w:hAnsi="Times New Roman" w:hint="eastAsia"/>
                <w:color w:val="000000"/>
                <w:sz w:val="32"/>
                <w:szCs w:val="32"/>
              </w:rPr>
              <w:t>。</w:t>
            </w:r>
          </w:p>
        </w:tc>
      </w:tr>
      <w:tr>
        <w:trPr>
          <w:trHeight w:val="1255"/>
        </w:trPr>
        <w:tc>
          <w:tcPr>
            <w:tcW w:w="704" w:type="dxa"/>
            <w:vAlign w:val="center"/>
          </w:tcPr>
          <w:p>
            <w:pPr>
              <w:widowControl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  <w:t>应急保障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left"/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  <w:t>应急情况发生时及时响应、特殊时期应急保障支持。</w:t>
            </w:r>
          </w:p>
        </w:tc>
        <w:tc>
          <w:tcPr>
            <w:tcW w:w="4565" w:type="dxa"/>
            <w:vAlign w:val="center"/>
          </w:tcPr>
          <w:p>
            <w:pPr>
              <w:widowControl/>
              <w:numPr>
                <w:ilvl w:val="0"/>
                <w:numId w:val="5"/>
              </w:numPr>
              <w:jc w:val="left"/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  <w:t>重大活动、会议、工作检查、突发事件等特殊时期提供7*24小时驻场的应急保障支持。</w:t>
            </w:r>
          </w:p>
          <w:p>
            <w:pPr>
              <w:widowControl/>
              <w:numPr>
                <w:ilvl w:val="0"/>
                <w:numId w:val="5"/>
              </w:numPr>
              <w:jc w:val="left"/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  <w:t>重大活动、会议、工作检查等特殊时期按采购方要求执行特别巡视和维护。</w:t>
            </w:r>
          </w:p>
        </w:tc>
      </w:tr>
      <w:tr>
        <w:trPr>
          <w:trHeight w:val="1255"/>
        </w:trPr>
        <w:tc>
          <w:tcPr>
            <w:tcW w:w="704" w:type="dxa"/>
            <w:vAlign w:val="center"/>
          </w:tcPr>
          <w:p>
            <w:pPr>
              <w:widowControl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  <w:t>补丁修复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  <w:t>协助做好</w:t>
            </w:r>
            <w:r>
              <w:rPr>
                <w:rFonts w:ascii="Times New Roman" w:eastAsia="方正仿宋_GBK" w:cs="Times New Roman" w:hAnsi="Times New Roman" w:hint="eastAsia"/>
                <w:color w:val="000000"/>
                <w:sz w:val="32"/>
                <w:szCs w:val="32"/>
              </w:rPr>
              <w:t>国产化</w:t>
            </w:r>
            <w:r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  <w:t>平台服务器的安全漏洞补丁修复</w:t>
            </w:r>
            <w:r>
              <w:rPr>
                <w:rFonts w:ascii="Times New Roman" w:eastAsia="方正仿宋_GBK" w:cs="Times New Roman" w:hAnsi="Times New Roman" w:hint="eastAsia"/>
                <w:color w:val="000000"/>
                <w:sz w:val="32"/>
                <w:szCs w:val="32"/>
              </w:rPr>
              <w:t>。</w:t>
            </w:r>
          </w:p>
        </w:tc>
        <w:tc>
          <w:tcPr>
            <w:tcW w:w="4565" w:type="dxa"/>
            <w:shd w:val="clear" w:color="auto" w:fill="auto"/>
          </w:tcPr>
          <w:p>
            <w:pPr>
              <w:numPr>
                <w:ilvl w:val="0"/>
                <w:numId w:val="6"/>
              </w:numPr>
              <w:jc w:val="left"/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  <w:t>做好平台安全漏洞分析；</w:t>
            </w:r>
          </w:p>
          <w:p>
            <w:pPr>
              <w:numPr>
                <w:ilvl w:val="0"/>
                <w:numId w:val="6"/>
              </w:numPr>
              <w:jc w:val="left"/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  <w:t>提供相关漏洞解决方案；</w:t>
            </w:r>
          </w:p>
          <w:p>
            <w:pPr>
              <w:numPr>
                <w:ilvl w:val="0"/>
                <w:numId w:val="6"/>
              </w:numPr>
              <w:jc w:val="left"/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  <w:t>定期协助做好相关服务器补丁修复</w:t>
            </w:r>
            <w:r>
              <w:rPr>
                <w:rFonts w:ascii="Times New Roman" w:eastAsia="方正仿宋_GBK" w:cs="Times New Roman" w:hAnsi="Times New Roman" w:hint="eastAsia"/>
                <w:color w:val="000000"/>
                <w:sz w:val="32"/>
                <w:szCs w:val="32"/>
              </w:rPr>
              <w:t>。</w:t>
            </w:r>
          </w:p>
          <w:p>
            <w:pPr>
              <w:jc w:val="left"/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</w:pPr>
          </w:p>
        </w:tc>
      </w:tr>
      <w:tr>
        <w:trPr>
          <w:trHeight w:val="1255"/>
        </w:trPr>
        <w:tc>
          <w:tcPr>
            <w:tcW w:w="704" w:type="dxa"/>
            <w:vAlign w:val="center"/>
          </w:tcPr>
          <w:p>
            <w:pPr>
              <w:widowControl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2"/>
                <w:szCs w:val="32"/>
              </w:rPr>
              <w:t>云桌面维护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2"/>
                <w:szCs w:val="32"/>
              </w:rPr>
              <w:t>国产云桌面和终端维护服务。</w:t>
            </w:r>
          </w:p>
        </w:tc>
        <w:tc>
          <w:tcPr>
            <w:tcW w:w="4565" w:type="dxa"/>
            <w:shd w:val="clear" w:color="auto" w:fill="auto"/>
          </w:tcPr>
          <w:p>
            <w:pPr>
              <w:jc w:val="left"/>
              <w:rPr>
                <w:rFonts w:ascii="Times New Roman" w:eastAsia="方正仿宋_GBK" w:cs="Times New Roman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2"/>
                <w:szCs w:val="32"/>
              </w:rPr>
              <w:t>麒麟操作系统的安装、安全加固、故障处理、升级维护，麒麟商店的日常维护。</w:t>
            </w:r>
          </w:p>
        </w:tc>
      </w:tr>
      <w:tr>
        <w:trPr>
          <w:trHeight w:val="913"/>
        </w:trPr>
        <w:tc>
          <w:tcPr>
            <w:tcW w:w="704" w:type="dxa"/>
            <w:vAlign w:val="center"/>
          </w:tcPr>
          <w:p>
            <w:pPr>
              <w:widowControl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jc w:val="center"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  <w:t>其他事项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  <w:t>根据需要协助采购方做好平台其它维护工作需要</w:t>
            </w:r>
          </w:p>
        </w:tc>
        <w:tc>
          <w:tcPr>
            <w:tcW w:w="4565" w:type="dxa"/>
            <w:vAlign w:val="center"/>
          </w:tcPr>
          <w:p>
            <w:pPr>
              <w:widowControl/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  <w:t>按照采购方要求协助做好</w:t>
            </w:r>
            <w:r>
              <w:rPr>
                <w:rFonts w:ascii="Times New Roman" w:eastAsia="方正仿宋_GBK" w:cs="Times New Roman" w:hAnsi="Times New Roman" w:hint="eastAsia"/>
                <w:color w:val="000000"/>
                <w:kern w:val="0"/>
                <w:sz w:val="32"/>
                <w:szCs w:val="32"/>
              </w:rPr>
              <w:t>国产化</w:t>
            </w: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32"/>
                <w:szCs w:val="32"/>
              </w:rPr>
              <w:t>平台相关服务器、应用系统的管理、升级维护等其他运维服务。</w:t>
            </w:r>
          </w:p>
        </w:tc>
      </w:tr>
    </w:tbl>
    <w:p>
      <w:pPr>
        <w:spacing w:line="560" w:lineRule="exact"/>
        <w:ind w:firstLineChars="200" w:firstLine="640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/>
          <w:sz w:val="32"/>
          <w:szCs w:val="32"/>
        </w:rPr>
        <w:t>二</w:t>
      </w:r>
      <w:r>
        <w:rPr>
          <w:rFonts w:ascii="方正黑体_GBK" w:eastAsia="方正黑体_GBK" w:hint="eastAsia"/>
          <w:sz w:val="32"/>
          <w:szCs w:val="32"/>
        </w:rPr>
        <w:t>、运维服务时间</w:t>
      </w:r>
    </w:p>
    <w:p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此次国产化平台运维管理服务期限为</w:t>
      </w:r>
      <w:r>
        <w:rPr>
          <w:rFonts w:ascii="Times New Roman" w:eastAsia="方正仿宋_GBK" w:hAnsi="Times New Roman"/>
          <w:sz w:val="32"/>
          <w:szCs w:val="32"/>
        </w:rPr>
        <w:t>18个月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>
      <w:pPr>
        <w:spacing w:line="560" w:lineRule="exact"/>
        <w:ind w:firstLineChars="200" w:firstLine="640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/>
          <w:sz w:val="32"/>
          <w:szCs w:val="32"/>
        </w:rPr>
        <w:t>三</w:t>
      </w:r>
      <w:r>
        <w:rPr>
          <w:rFonts w:ascii="方正黑体_GBK" w:eastAsia="方正黑体_GBK" w:hint="eastAsia"/>
          <w:sz w:val="32"/>
          <w:szCs w:val="32"/>
        </w:rPr>
        <w:t>、服务方式</w:t>
      </w:r>
      <w:bookmarkStart w:id="0" w:name="_GoBack"/>
      <w:bookmarkEnd w:id="0"/>
    </w:p>
    <w:p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 xml:space="preserve">1. </w:t>
      </w:r>
      <w:r>
        <w:rPr>
          <w:rFonts w:ascii="Times New Roman" w:eastAsia="方正仿宋_GBK" w:hAnsi="Times New Roman" w:hint="eastAsia"/>
          <w:sz w:val="32"/>
          <w:szCs w:val="32"/>
        </w:rPr>
        <w:t>驻场服务：提供</w:t>
      </w:r>
      <w:r>
        <w:rPr>
          <w:rFonts w:ascii="Times New Roman" w:eastAsia="方正仿宋_GBK" w:hAnsi="Times New Roman"/>
          <w:sz w:val="32"/>
          <w:szCs w:val="32"/>
        </w:rPr>
        <w:t>合同期内1人</w:t>
      </w:r>
      <w:r>
        <w:rPr>
          <w:rFonts w:ascii="Times New Roman" w:eastAsia="方正仿宋_GBK" w:hAnsi="Times New Roman" w:hint="eastAsia"/>
          <w:sz w:val="32"/>
          <w:szCs w:val="32"/>
        </w:rPr>
        <w:t>5*8小时驻场</w:t>
      </w:r>
      <w:r>
        <w:rPr>
          <w:rFonts w:ascii="Times New Roman" w:eastAsia="方正仿宋_GBK" w:hAnsi="Times New Roman"/>
          <w:sz w:val="32"/>
          <w:szCs w:val="32"/>
        </w:rPr>
        <w:t>运维</w:t>
      </w:r>
      <w:r>
        <w:rPr>
          <w:rFonts w:ascii="Times New Roman" w:eastAsia="方正仿宋_GBK" w:hAnsi="Times New Roman" w:hint="eastAsia"/>
          <w:sz w:val="32"/>
          <w:szCs w:val="32"/>
        </w:rPr>
        <w:t>服务，保证维保合同内的日常维护技术支持。</w:t>
      </w:r>
    </w:p>
    <w:p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2</w:t>
      </w:r>
      <w:r>
        <w:rPr>
          <w:rFonts w:ascii="Times New Roman" w:eastAsia="方正仿宋_GBK" w:hAnsi="Times New Roman"/>
          <w:sz w:val="32"/>
          <w:szCs w:val="32"/>
        </w:rPr>
        <w:t xml:space="preserve">. </w:t>
      </w:r>
      <w:r>
        <w:rPr>
          <w:rFonts w:ascii="Times New Roman" w:eastAsia="方正仿宋_GBK" w:hAnsi="Times New Roman" w:hint="eastAsia"/>
          <w:sz w:val="32"/>
          <w:szCs w:val="32"/>
        </w:rPr>
        <w:t>紧急维护：当遇到紧急运维工作时，</w:t>
      </w:r>
      <w:r>
        <w:rPr>
          <w:rFonts w:ascii="Times New Roman" w:eastAsia="方正仿宋_GBK" w:hAnsi="Times New Roman"/>
          <w:sz w:val="32"/>
          <w:szCs w:val="32"/>
        </w:rPr>
        <w:t>供应商</w:t>
      </w:r>
      <w:r>
        <w:rPr>
          <w:rFonts w:ascii="Times New Roman" w:eastAsia="方正仿宋_GBK" w:hAnsi="Times New Roman" w:hint="eastAsia"/>
          <w:sz w:val="32"/>
          <w:szCs w:val="32"/>
        </w:rPr>
        <w:t>须安排符合要求的技术人员于12小时内上门提供技术支持，协助进行相关系统的配置、巡检和运维等工作，配合采购人进行紧急处理。</w:t>
      </w:r>
    </w:p>
    <w:p>
      <w:pPr>
        <w:spacing w:line="560" w:lineRule="exact"/>
        <w:ind w:firstLineChars="200" w:firstLine="640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/>
          <w:sz w:val="32"/>
          <w:szCs w:val="32"/>
        </w:rPr>
        <w:t>四</w:t>
      </w:r>
      <w:r>
        <w:rPr>
          <w:rFonts w:ascii="方正黑体_GBK" w:eastAsia="方正黑体_GBK" w:hint="eastAsia"/>
          <w:sz w:val="32"/>
          <w:szCs w:val="32"/>
        </w:rPr>
        <w:t>、运维服务要求</w:t>
      </w:r>
    </w:p>
    <w:p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1</w:t>
      </w:r>
      <w:r>
        <w:rPr>
          <w:rFonts w:ascii="Times New Roman" w:eastAsia="方正仿宋_GBK" w:hAnsi="Times New Roman"/>
          <w:sz w:val="32"/>
          <w:szCs w:val="32"/>
        </w:rPr>
        <w:t>. 供应商</w:t>
      </w:r>
      <w:r>
        <w:rPr>
          <w:rFonts w:ascii="Times New Roman" w:eastAsia="方正仿宋_GBK" w:hAnsi="Times New Roman" w:hint="eastAsia"/>
          <w:sz w:val="32"/>
          <w:szCs w:val="32"/>
        </w:rPr>
        <w:t>须与采购人签订保密协议，运维人员须遵循采购人的各项规章制度。所接触的采购人专有信息仅限于本人在本项目中使用，不得向他人泄露，更不得用于演示或宣传。</w:t>
      </w:r>
    </w:p>
    <w:p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2</w:t>
      </w:r>
      <w:r>
        <w:rPr>
          <w:rFonts w:ascii="Times New Roman" w:eastAsia="方正仿宋_GBK" w:hAnsi="Times New Roman"/>
          <w:sz w:val="32"/>
          <w:szCs w:val="32"/>
        </w:rPr>
        <w:t xml:space="preserve">. </w:t>
      </w:r>
      <w:r>
        <w:rPr>
          <w:rFonts w:ascii="Times New Roman" w:eastAsia="方正仿宋_GBK" w:hAnsi="Times New Roman" w:hint="eastAsia"/>
          <w:sz w:val="32"/>
          <w:szCs w:val="32"/>
        </w:rPr>
        <w:t>在合同期内，如</w:t>
      </w:r>
      <w:r>
        <w:rPr>
          <w:rFonts w:ascii="Times New Roman" w:eastAsia="方正仿宋_GBK" w:hAnsi="Times New Roman"/>
          <w:sz w:val="32"/>
          <w:szCs w:val="32"/>
        </w:rPr>
        <w:t>供应商在本项目投入人员</w:t>
      </w:r>
      <w:r>
        <w:rPr>
          <w:rFonts w:ascii="Times New Roman" w:eastAsia="方正仿宋_GBK" w:hAnsi="Times New Roman" w:hint="eastAsia"/>
          <w:sz w:val="32"/>
          <w:szCs w:val="32"/>
        </w:rPr>
        <w:t>的技术和服务水平不胜任远程及现场支持工作，</w:t>
      </w:r>
      <w:r>
        <w:rPr>
          <w:rFonts w:ascii="Times New Roman" w:eastAsia="方正仿宋_GBK" w:hAnsi="Times New Roman"/>
          <w:sz w:val="32"/>
          <w:szCs w:val="32"/>
        </w:rPr>
        <w:t>供应商</w:t>
      </w:r>
      <w:r>
        <w:rPr>
          <w:rFonts w:ascii="Times New Roman" w:eastAsia="方正仿宋_GBK" w:hAnsi="Times New Roman" w:hint="eastAsia"/>
          <w:sz w:val="32"/>
          <w:szCs w:val="32"/>
        </w:rPr>
        <w:t>需按采购人要求进行更换。</w:t>
      </w:r>
    </w:p>
    <w:p>
      <w:pPr>
        <w:spacing w:line="560" w:lineRule="exact"/>
        <w:jc w:val="left"/>
      </w:pPr>
    </w:p>
    <w:sectPr>
      <w:footerReference w:type="default" r:id="rId2"/>
      <w:footerReference w:type="even" r:id="rId3"/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宋体">
    <w:altName w:val="华文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Calibri">
    <w:altName w:val="Times New Roman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DejaVu Sans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方正黑体_GBK"/>
    <w:panose1 w:val="02010609060101010101"/>
    <w:charset w:val="86"/>
    <w:family w:val="modern"/>
    <w:pitch w:val="variable"/>
    <w:sig w:usb0="00000001" w:usb1="080E0000" w:usb2="00000010" w:usb3="00000000" w:csb0="00040000" w:csb1="00000000"/>
  </w:font>
  <w:font w:name="Wingdings">
    <w:altName w:val="DejaVu Sans"/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center" w:y="1" w:anchorLock="0"/>
      <w:tabs>
        <w:tab w:val="center" w:pos="4153"/>
        <w:tab w:val="right" w:pos="8307"/>
      </w:tabs>
    </w:pPr>
    <w:r>
      <w:rPr>
        <w:rStyle w:val="17"/>
      </w:rPr>
      <w:fldChar w:fldCharType="begin"/>
    </w:r>
    <w:r>
      <w:rPr>
        <w:rStyle w:val="17"/>
      </w:rPr>
      <w:instrText>Page</w:instrText>
    </w:r>
    <w:r>
      <w:rPr>
        <w:rStyle w:val="17"/>
      </w:rPr>
      <w:fldChar w:fldCharType="separate"/>
    </w:r>
    <w:r>
      <w:rPr>
        <w:rStyle w:val="17"/>
      </w:rPr>
      <w:t>1</w:t>
    </w:r>
    <w:r>
      <w:rPr>
        <w:rStyle w:val="17"/>
      </w:rPr>
      <w:fldChar w:fldCharType="end"/>
    </w:r>
  </w:p>
  <w:p>
    <w:pPr>
      <w:pStyle w:val="16"/>
      <w:tabs>
        <w:tab w:val="center" w:pos="4153"/>
        <w:tab w:val="right" w:pos="8307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center" w:y="1" w:anchorLock="0"/>
      <w:tabs>
        <w:tab w:val="center" w:pos="4153"/>
        <w:tab w:val="right" w:pos="8307"/>
      </w:tabs>
    </w:pPr>
    <w:r>
      <w:rPr>
        <w:rStyle w:val="17"/>
      </w:rPr>
      <w:fldChar w:fldCharType="begin"/>
    </w:r>
    <w:r>
      <w:rPr>
        <w:rStyle w:val="17"/>
      </w:rPr>
      <w:instrText>Page</w:instrText>
    </w:r>
    <w:r>
      <w:rPr>
        <w:rStyle w:val="17"/>
      </w:rPr>
      <w:fldChar w:fldCharType="separate"/>
    </w:r>
    <w:r>
      <w:rPr>
        <w:rStyle w:val="17"/>
      </w:rPr>
      <w:t>1</w:t>
    </w:r>
    <w:r>
      <w:rPr>
        <w:rStyle w:val="17"/>
      </w:rPr>
      <w:fldChar w:fldCharType="end"/>
    </w:r>
  </w:p>
  <w:p>
    <w:pPr>
      <w:pStyle w:val="16"/>
      <w:tabs>
        <w:tab w:val="center" w:pos="4153"/>
        <w:tab w:val="right" w:pos="8307"/>
      </w:tabs>
    </w:pP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47FD7890"/>
    <w:multiLevelType w:val="multilevel"/>
    <w:tmpl w:val="47FD7890"/>
    <w:lvl w:ilvl="0">
      <w:start w:val="1"/>
      <w:numFmt w:val="decimal"/>
      <w:lvlRestart w:val="0"/>
      <w:suff w:val="nothing"/>
      <w:lvlText w:val="(%1)"/>
      <w:lvlJc w:val="left"/>
      <w:pPr>
        <w:tabs>
          <w:tab w:val="num" w:pos="0"/>
        </w:tabs>
        <w:ind w:left="0" w:hanging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1">
    <w:nsid w:val="58C4F0BF"/>
    <w:multiLevelType w:val="singleLevel"/>
    <w:tmpl w:val="58C4F0BF"/>
    <w:lvl w:ilvl="0">
      <w:start w:val="1"/>
      <w:numFmt w:val="decimal"/>
      <w:lvlRestart w:val="0"/>
      <w:suff w:val="nothing"/>
      <w:lvlText w:val="(%1)"/>
      <w:lvlJc w:val="left"/>
      <w:pPr>
        <w:tabs>
          <w:tab w:val="num" w:pos="0"/>
        </w:tabs>
        <w:ind w:left="0" w:hanging="0"/>
      </w:pPr>
    </w:lvl>
  </w:abstractNum>
  <w:abstractNum w:abstractNumId="2">
    <w:nsid w:val="58C4F1CD"/>
    <w:multiLevelType w:val="singleLevel"/>
    <w:tmpl w:val="58C4F1CD"/>
    <w:lvl w:ilvl="0">
      <w:start w:val="1"/>
      <w:numFmt w:val="bullet"/>
      <w:lvlRestart w:val="0"/>
      <w:lvlText w:val=""/>
      <w:lvlJc w:val="left"/>
      <w:pPr>
        <w:tabs>
          <w:tab w:val="num" w:pos="0"/>
        </w:tabs>
        <w:ind w:left="420" w:hanging="420"/>
      </w:pPr>
      <w:rPr>
        <w:rFonts w:ascii="Wingdings" w:hAnsi="Wingdings" w:hint="default"/>
      </w:rPr>
    </w:lvl>
  </w:abstractNum>
  <w:abstractNum w:abstractNumId="3">
    <w:nsid w:val="58C4ED7C"/>
    <w:multiLevelType w:val="singleLevel"/>
    <w:tmpl w:val="58C4ED7C"/>
    <w:lvl w:ilvl="0">
      <w:start w:val="1"/>
      <w:numFmt w:val="decimal"/>
      <w:lvlRestart w:val="0"/>
      <w:suff w:val="nothing"/>
      <w:lvlText w:val="(%1)"/>
      <w:lvlJc w:val="left"/>
      <w:pPr>
        <w:tabs>
          <w:tab w:val="num" w:pos="0"/>
        </w:tabs>
        <w:ind w:left="0" w:hanging="0"/>
      </w:pPr>
    </w:lvl>
  </w:abstractNum>
  <w:abstractNum w:abstractNumId="4">
    <w:nsid w:val="58C4F6EB"/>
    <w:multiLevelType w:val="singleLevel"/>
    <w:tmpl w:val="58C4F6EB"/>
    <w:lvl w:ilvl="0">
      <w:start w:val="1"/>
      <w:numFmt w:val="decimal"/>
      <w:lvlRestart w:val="0"/>
      <w:suff w:val="nothing"/>
      <w:lvlText w:val="(%1)"/>
      <w:lvlJc w:val="left"/>
      <w:pPr>
        <w:tabs>
          <w:tab w:val="num" w:pos="0"/>
        </w:tabs>
        <w:ind w:left="0" w:hanging="0"/>
      </w:pPr>
    </w:lvl>
  </w:abstractNum>
  <w:abstractNum w:abstractNumId="5">
    <w:nsid w:val="58C4FFD2"/>
    <w:multiLevelType w:val="singleLevel"/>
    <w:tmpl w:val="58C4FFD2"/>
    <w:lvl w:ilvl="0">
      <w:start w:val="1"/>
      <w:numFmt w:val="decimal"/>
      <w:lvlRestart w:val="0"/>
      <w:suff w:val="nothing"/>
      <w:lvlText w:val="(%1)"/>
      <w:lvlJc w:val="left"/>
      <w:pPr>
        <w:tabs>
          <w:tab w:val="num" w:pos="0"/>
        </w:tabs>
        <w:ind w:left="0" w:hanging="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0"/>
  <w:doNotDisplayPageBoundaries/>
  <w:displayBackgroundShape/>
  <w:bordersDoNotSurroundHeader/>
  <w:bordersDoNotSurroundFooter/>
  <w:trackRevisions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6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character" w:styleId="17">
    <w:name w:val="page number"/>
    <w:basedOn w:val="10"/>
  </w:style>
  <w:style w:type="paragraph" w:styleId="18">
    <w:name w:val="Balloon Text"/>
    <w:basedOn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numbering" Target="numbering.xml"/><Relationship Id="rId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104</TotalTime>
  <Application>Yozo_Office</Application>
  <Pages>4</Pages>
  <Words>1089</Words>
  <Characters>1136</Characters>
  <Lines>119</Lines>
  <Paragraphs>60</Paragraphs>
  <CharactersWithSpaces>1142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王心怡</dc:creator>
  <cp:lastModifiedBy>粟云霞</cp:lastModifiedBy>
  <cp:revision>23</cp:revision>
  <dcterms:created xsi:type="dcterms:W3CDTF">2020-08-21T08:41:00Z</dcterms:created>
  <dcterms:modified xsi:type="dcterms:W3CDTF">2025-11-11T09:16:01Z</dcterms:modified>
</cp:coreProperties>
</file>