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540" w:lineRule="exact"/>
        <w:jc w:val="center"/>
        <w:rPr>
          <w:rFonts w:eastAsia="方正小标宋_GBK"/>
          <w:bCs/>
          <w:color w:val="000000"/>
          <w:sz w:val="32"/>
          <w:szCs w:val="32"/>
        </w:rPr>
      </w:pPr>
      <w:bookmarkStart w:id="0" w:name="_GoBack"/>
      <w:bookmarkEnd w:id="0"/>
      <w:r>
        <w:rPr>
          <w:rFonts w:eastAsia="方正小标宋_GBK"/>
          <w:bCs/>
          <w:color w:val="000000"/>
          <w:sz w:val="32"/>
          <w:szCs w:val="32"/>
        </w:rPr>
        <w:t>评审办法</w:t>
      </w:r>
    </w:p>
    <w:p>
      <w:pPr>
        <w:spacing w:line="540" w:lineRule="exact"/>
        <w:jc w:val="center"/>
        <w:rPr>
          <w:rFonts w:eastAsia="方正小标宋_GBK"/>
          <w:bCs/>
          <w:color w:val="000000"/>
          <w:sz w:val="28"/>
          <w:szCs w:val="28"/>
        </w:rPr>
      </w:pPr>
      <w:r>
        <w:rPr>
          <w:rFonts w:eastAsia="方正小标宋_GBK"/>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eastAsia="方正黑体_GBK"/>
          <w:b/>
          <w:color w:val="000000"/>
          <w:sz w:val="28"/>
          <w:szCs w:val="28"/>
        </w:rPr>
        <w:t>响应文件送达及密封检查</w:t>
      </w:r>
    </w:p>
    <w:p>
      <w:pPr>
        <w:spacing w:line="480" w:lineRule="exact"/>
        <w:ind w:firstLineChars="200" w:firstLine="560"/>
        <w:rPr>
          <w:rFonts w:eastAsia="方正楷体_GBK"/>
          <w:b/>
          <w:color w:val="000000"/>
          <w:sz w:val="28"/>
          <w:szCs w:val="28"/>
        </w:rPr>
      </w:pPr>
      <w:r>
        <w:rPr>
          <w:rFonts w:eastAsia="方正楷体_GBK"/>
          <w:b/>
          <w:color w:val="000000"/>
          <w:sz w:val="28"/>
          <w:szCs w:val="28"/>
        </w:rPr>
        <w:t>（一）查看响应文件送达时间：</w:t>
      </w:r>
    </w:p>
    <w:p>
      <w:pPr>
        <w:spacing w:line="480" w:lineRule="exact"/>
        <w:ind w:firstLineChars="200" w:firstLine="560"/>
        <w:rPr>
          <w:rFonts w:eastAsia="方正仿宋_GBK"/>
          <w:color w:val="000000"/>
          <w:sz w:val="28"/>
          <w:szCs w:val="28"/>
        </w:rPr>
      </w:pPr>
      <w:r>
        <w:rPr>
          <w:rFonts w:eastAsia="方正仿宋_GBK"/>
          <w:color w:val="000000"/>
          <w:sz w:val="28"/>
          <w:szCs w:val="28"/>
        </w:rPr>
        <w:t>在《采购公告》规定的报价截止时间之前将响应文件送达。</w:t>
      </w:r>
    </w:p>
    <w:p>
      <w:pPr>
        <w:spacing w:line="480" w:lineRule="exact"/>
        <w:ind w:left="640"/>
        <w:rPr>
          <w:rFonts w:eastAsia="方正仿宋_GBK"/>
          <w:color w:val="000000"/>
          <w:sz w:val="28"/>
          <w:szCs w:val="28"/>
        </w:rPr>
      </w:pPr>
      <w:r>
        <w:rPr>
          <w:rFonts w:eastAsia="方正楷体_GBK"/>
          <w:b/>
          <w:color w:val="000000"/>
          <w:sz w:val="28"/>
          <w:szCs w:val="28"/>
        </w:rPr>
        <w:t>（二）响应文件包装密封要求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color w:val="000000"/>
          <w:sz w:val="28"/>
          <w:szCs w:val="28"/>
        </w:rPr>
        <w:t>供应商应将所有响应文件装在一个密封袋内，响应文件密封袋的封口处应加贴封条并加盖供应商法人单位公章以示密封。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二、资格审查</w:t>
      </w:r>
    </w:p>
    <w:p>
      <w:pPr>
        <w:spacing w:line="480" w:lineRule="exact"/>
        <w:ind w:firstLineChars="200" w:firstLine="560"/>
        <w:rPr>
          <w:rFonts w:eastAsia="方正仿宋_GBK"/>
          <w:color w:val="000000"/>
          <w:sz w:val="28"/>
          <w:szCs w:val="28"/>
        </w:rPr>
      </w:pPr>
      <w:r>
        <w:rPr>
          <w:rFonts w:eastAsia="方正仿宋_GBK"/>
          <w:color w:val="000000"/>
          <w:sz w:val="28"/>
          <w:szCs w:val="28"/>
        </w:rPr>
        <w:t>具备《采购公告》中企业资质，通过审查不足3家的应废标，采购人重新组织采购。</w:t>
      </w:r>
    </w:p>
    <w:p>
      <w:pPr>
        <w:spacing w:line="480" w:lineRule="exact"/>
        <w:ind w:left="640"/>
        <w:rPr>
          <w:rFonts w:eastAsia="方正黑体_GBK"/>
          <w:color w:val="000000"/>
          <w:sz w:val="28"/>
          <w:szCs w:val="28"/>
        </w:rPr>
      </w:pPr>
      <w:r>
        <w:rPr>
          <w:rFonts w:eastAsia="方正黑体_GBK"/>
          <w:color w:val="000000"/>
          <w:sz w:val="28"/>
          <w:szCs w:val="28"/>
        </w:rPr>
        <w:t>三、符合性审查</w:t>
      </w:r>
    </w:p>
    <w:p>
      <w:pPr>
        <w:spacing w:line="480" w:lineRule="exact"/>
        <w:ind w:left="640"/>
        <w:rPr>
          <w:rFonts w:eastAsia="方正楷体_GBK"/>
          <w:b/>
          <w:color w:val="000000"/>
          <w:sz w:val="28"/>
          <w:szCs w:val="28"/>
        </w:rPr>
      </w:pPr>
      <w:r>
        <w:rPr>
          <w:rFonts w:eastAsia="方正楷体_GBK"/>
          <w:b/>
          <w:sz w:val="28"/>
          <w:szCs w:val="28"/>
        </w:rPr>
        <w:t>（一）</w:t>
      </w:r>
      <w:r>
        <w:rPr>
          <w:rFonts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4.有效的“营业执照”或“事业单位法人证书”副本复印件（必须提供）；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7.“信用中国”（www.creditchina.gov.cn）信用报告及中国政府采购网（www.ccgp.gov.cn）政府采购严重违法失信行为信息记录截图（必须提供）；</w:t>
      </w:r>
    </w:p>
    <w:p>
      <w:pPr>
        <w:spacing w:line="480" w:lineRule="exact"/>
        <w:ind w:leftChars="-1" w:left="-2" w:firstLineChars="221" w:firstLine="619"/>
        <w:rPr>
          <w:rFonts w:eastAsia="方正仿宋_GBK"/>
          <w:sz w:val="28"/>
          <w:szCs w:val="28"/>
        </w:rPr>
      </w:pPr>
      <w:r>
        <w:rPr>
          <w:rFonts w:eastAsia="方正仿宋_GBK"/>
          <w:sz w:val="28"/>
          <w:szCs w:val="28"/>
        </w:rPr>
        <w:t>8.供应商基本情况介绍；</w:t>
      </w:r>
    </w:p>
    <w:p>
      <w:pPr>
        <w:spacing w:line="480" w:lineRule="exact"/>
        <w:ind w:leftChars="-1" w:left="-2" w:firstLineChars="221" w:firstLine="619"/>
        <w:rPr>
          <w:rFonts w:eastAsia="方正仿宋_GBK"/>
          <w:sz w:val="28"/>
          <w:szCs w:val="28"/>
        </w:rPr>
      </w:pPr>
      <w:r>
        <w:rPr>
          <w:rFonts w:eastAsia="方正仿宋_GBK"/>
          <w:sz w:val="28"/>
          <w:szCs w:val="28"/>
        </w:rPr>
        <w:t>9.拟派的本项目负责人简历和技术人员表；</w:t>
      </w:r>
    </w:p>
    <w:p>
      <w:pPr>
        <w:spacing w:line="480" w:lineRule="exact"/>
        <w:ind w:leftChars="-1" w:left="-2" w:firstLineChars="221" w:firstLine="619"/>
        <w:rPr>
          <w:rFonts w:eastAsia="方正仿宋_GBK"/>
          <w:sz w:val="28"/>
          <w:szCs w:val="28"/>
        </w:rPr>
      </w:pPr>
      <w:r>
        <w:rPr>
          <w:rFonts w:eastAsia="方正仿宋_GBK"/>
          <w:sz w:val="28"/>
          <w:szCs w:val="28"/>
        </w:rPr>
        <w:t>10.近三年同类工作相关业绩；</w:t>
      </w:r>
    </w:p>
    <w:p>
      <w:pPr>
        <w:spacing w:line="480" w:lineRule="exact"/>
        <w:ind w:leftChars="-1" w:left="-2" w:firstLineChars="221" w:firstLine="619"/>
        <w:rPr>
          <w:rFonts w:eastAsia="方正仿宋_GBK"/>
          <w:sz w:val="28"/>
          <w:szCs w:val="28"/>
        </w:rPr>
      </w:pPr>
      <w:r>
        <w:rPr>
          <w:rFonts w:eastAsia="方正仿宋_GBK"/>
          <w:sz w:val="28"/>
          <w:szCs w:val="28"/>
        </w:rPr>
        <w:t>11.提供所报价设备的图片及具体参数（如为设备类项目须提供）；</w:t>
      </w:r>
    </w:p>
    <w:p>
      <w:pPr>
        <w:spacing w:line="480" w:lineRule="exact"/>
        <w:ind w:leftChars="-1" w:left="-2" w:firstLineChars="221" w:firstLine="619"/>
        <w:rPr>
          <w:rFonts w:eastAsia="方正仿宋_GBK"/>
          <w:sz w:val="28"/>
          <w:szCs w:val="28"/>
        </w:rPr>
      </w:pPr>
      <w:r>
        <w:rPr>
          <w:rFonts w:eastAsia="方正仿宋_GBK"/>
          <w:sz w:val="28"/>
          <w:szCs w:val="28"/>
        </w:rPr>
        <w:t>12.其他证明文件的复印件（如有请提供）。</w:t>
      </w:r>
    </w:p>
    <w:p>
      <w:pPr>
        <w:spacing w:line="560" w:lineRule="exact"/>
        <w:ind w:leftChars="-1" w:left="-2" w:firstLineChars="200" w:firstLine="560"/>
        <w:rPr>
          <w:rFonts w:eastAsia="方正仿宋_GBK"/>
          <w:sz w:val="28"/>
          <w:szCs w:val="28"/>
        </w:rPr>
      </w:pPr>
      <w:r>
        <w:rPr>
          <w:rFonts w:eastAsia="方正仿宋_GBK"/>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eastAsia="方正楷体_GBK"/>
          <w:b/>
          <w:sz w:val="28"/>
          <w:szCs w:val="28"/>
        </w:rPr>
        <w:t>（二）</w:t>
      </w:r>
      <w:r>
        <w:rPr>
          <w:rFonts w:eastAsia="方正仿宋_GBK"/>
          <w:sz w:val="28"/>
          <w:szCs w:val="28"/>
        </w:rPr>
        <w:t>属于下列情形的，不得参加下一步详评：</w:t>
      </w:r>
    </w:p>
    <w:p>
      <w:pPr>
        <w:spacing w:line="480" w:lineRule="exact"/>
        <w:ind w:leftChars="-1" w:left="-2" w:firstLineChars="221" w:firstLine="619"/>
        <w:rPr>
          <w:rFonts w:eastAsia="方正仿宋_GBK"/>
          <w:sz w:val="28"/>
          <w:szCs w:val="28"/>
        </w:rPr>
      </w:pPr>
      <w:r>
        <w:rPr>
          <w:rFonts w:eastAsia="方正仿宋_GBK"/>
          <w:sz w:val="28"/>
          <w:szCs w:val="28"/>
        </w:rPr>
        <w:t>1.不满足上述响应文件要求（标注必须提供的材料未提交的、提供资料不符合要求的）；</w:t>
      </w:r>
    </w:p>
    <w:p>
      <w:pPr>
        <w:spacing w:line="480" w:lineRule="exact"/>
        <w:ind w:leftChars="-1" w:left="-2" w:firstLineChars="221" w:firstLine="619"/>
        <w:rPr>
          <w:rFonts w:eastAsia="方正仿宋_GBK"/>
          <w:sz w:val="28"/>
          <w:szCs w:val="28"/>
        </w:rPr>
      </w:pPr>
      <w:r>
        <w:rPr>
          <w:rFonts w:eastAsia="方正仿宋_GBK"/>
          <w:sz w:val="28"/>
          <w:szCs w:val="28"/>
        </w:rPr>
        <w:t>2.报价超过预算金额或严重不平衡、不合理、低于其企业成本的；</w:t>
      </w:r>
    </w:p>
    <w:p>
      <w:pPr>
        <w:spacing w:line="480" w:lineRule="exact"/>
        <w:ind w:leftChars="-1" w:left="-2" w:firstLineChars="221" w:firstLine="619"/>
        <w:rPr>
          <w:rFonts w:eastAsia="方正仿宋_GBK"/>
          <w:sz w:val="28"/>
          <w:szCs w:val="28"/>
        </w:rPr>
      </w:pPr>
      <w:r>
        <w:rPr>
          <w:rFonts w:eastAsia="方正仿宋_GBK"/>
          <w:sz w:val="28"/>
          <w:szCs w:val="28"/>
        </w:rPr>
        <w:t>3.《采购公告》中列明无效报价的情形；</w:t>
      </w:r>
    </w:p>
    <w:p>
      <w:pPr>
        <w:spacing w:line="480" w:lineRule="exact"/>
        <w:ind w:firstLineChars="200" w:firstLine="560"/>
        <w:rPr>
          <w:rFonts w:eastAsia="方正仿宋_GBK"/>
          <w:sz w:val="28"/>
          <w:szCs w:val="28"/>
        </w:rPr>
      </w:pPr>
      <w:r>
        <w:rPr>
          <w:rFonts w:eastAsia="方正楷体_GBK"/>
          <w:b/>
          <w:sz w:val="28"/>
          <w:szCs w:val="28"/>
        </w:rPr>
        <w:t xml:space="preserve">（三） </w:t>
      </w:r>
      <w:r>
        <w:rPr>
          <w:rFonts w:eastAsia="方正仿宋_GBK"/>
          <w:sz w:val="28"/>
          <w:szCs w:val="28"/>
        </w:rPr>
        <w:t>报价函与报价明细表的报价不一致时，以报价函价格为准，报价大、小写不一致时，以大写价格为准。</w:t>
      </w:r>
    </w:p>
    <w:p>
      <w:pPr>
        <w:spacing w:line="480" w:lineRule="exact"/>
        <w:ind w:firstLineChars="200" w:firstLine="560"/>
        <w:rPr>
          <w:rFonts w:eastAsia="方正黑体_GBK"/>
          <w:sz w:val="28"/>
          <w:szCs w:val="28"/>
        </w:rPr>
      </w:pPr>
      <w:r>
        <w:rPr>
          <w:rFonts w:eastAsia="方正黑体_GBK"/>
          <w:sz w:val="28"/>
          <w:szCs w:val="28"/>
        </w:rPr>
        <w:t>四、评审方法及评分标准</w:t>
      </w:r>
    </w:p>
    <w:p>
      <w:pPr>
        <w:spacing w:line="480" w:lineRule="exact"/>
        <w:ind w:firstLineChars="228" w:firstLine="638"/>
        <w:rPr>
          <w:rFonts w:eastAsia="方正仿宋_GBK"/>
          <w:sz w:val="28"/>
          <w:szCs w:val="28"/>
        </w:rPr>
      </w:pPr>
      <w:r>
        <w:rPr>
          <w:rFonts w:eastAsia="方正仿宋_GBK"/>
          <w:sz w:val="28"/>
          <w:szCs w:val="28"/>
        </w:rPr>
        <w:t>通过符合性审查的供应商不足3家时，可继续评审。</w:t>
      </w:r>
    </w:p>
    <w:p>
      <w:pPr>
        <w:spacing w:line="480" w:lineRule="exact"/>
        <w:ind w:firstLineChars="228" w:firstLine="638"/>
        <w:rPr>
          <w:rFonts w:eastAsia="方正仿宋_GBK"/>
          <w:sz w:val="28"/>
          <w:szCs w:val="28"/>
        </w:rPr>
      </w:pPr>
      <w:r>
        <w:rPr>
          <w:rFonts w:eastAsia="方正仿宋_GBK"/>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480" w:lineRule="exact"/>
        <w:ind w:firstLineChars="228" w:firstLine="638"/>
        <w:rPr>
          <w:rFonts w:eastAsia="方正黑体_GBK"/>
          <w:strike/>
          <w:dstrike w:val="0"/>
          <w:color w:val="FF0000"/>
          <w:sz w:val="28"/>
          <w:szCs w:val="28"/>
        </w:rPr>
      </w:pPr>
      <w:r>
        <w:rPr>
          <w:rFonts w:eastAsia="方正仿宋_GBK"/>
          <w:color w:val="000000"/>
          <w:sz w:val="28"/>
          <w:szCs w:val="28"/>
        </w:rPr>
        <w:t>属于报价无效情形的，不予澄清。</w:t>
      </w:r>
    </w:p>
    <w:p>
      <w:pPr>
        <w:snapToGrid w:val="0"/>
        <w:spacing w:line="480" w:lineRule="exact"/>
        <w:ind w:firstLineChars="196" w:firstLine="549"/>
        <w:jc w:val="left"/>
        <w:rPr>
          <w:rFonts w:eastAsia="仿宋_GB2312"/>
          <w:b/>
          <w:color w:val="000000"/>
          <w:sz w:val="28"/>
          <w:szCs w:val="28"/>
        </w:rPr>
      </w:pPr>
      <w:r>
        <w:rPr>
          <w:rFonts w:eastAsia="仿宋_GB2312"/>
          <w:b/>
          <w:color w:val="000000"/>
          <w:sz w:val="28"/>
          <w:szCs w:val="28"/>
        </w:rPr>
        <w:t>（一）评审方法</w:t>
      </w:r>
    </w:p>
    <w:p>
      <w:pPr>
        <w:snapToGrid w:val="0"/>
        <w:spacing w:line="480" w:lineRule="exact"/>
        <w:ind w:firstLineChars="200" w:firstLine="560"/>
        <w:jc w:val="left"/>
        <w:rPr>
          <w:rFonts w:eastAsia="仿宋_GB2312"/>
          <w:bCs/>
          <w:color w:val="000000"/>
          <w:sz w:val="28"/>
          <w:szCs w:val="28"/>
        </w:rPr>
      </w:pPr>
      <w:r>
        <w:rPr>
          <w:rFonts w:eastAsia="仿宋_GB2312"/>
          <w:bCs/>
          <w:color w:val="000000"/>
          <w:sz w:val="28"/>
          <w:szCs w:val="28"/>
        </w:rPr>
        <w:t>1.对进入详评的，采用百分制综合评分法。</w:t>
      </w:r>
    </w:p>
    <w:p>
      <w:pPr>
        <w:snapToGrid w:val="0"/>
        <w:spacing w:line="480" w:lineRule="exact"/>
        <w:ind w:firstLineChars="200" w:firstLine="560"/>
        <w:jc w:val="left"/>
        <w:rPr>
          <w:rFonts w:eastAsia="仿宋_GB2312"/>
          <w:bCs/>
          <w:color w:val="000000"/>
          <w:sz w:val="28"/>
          <w:szCs w:val="28"/>
        </w:rPr>
      </w:pPr>
      <w:r>
        <w:rPr>
          <w:rFonts w:eastAsia="仿宋_GB2312"/>
          <w:bCs/>
          <w:color w:val="000000"/>
          <w:sz w:val="28"/>
          <w:szCs w:val="28"/>
        </w:rPr>
        <w:t>2.计分办法（按四舍五入取至小数点后两位）。</w:t>
      </w:r>
    </w:p>
    <w:p>
      <w:pPr>
        <w:spacing w:line="480" w:lineRule="exact"/>
        <w:ind w:firstLineChars="200" w:firstLine="560"/>
        <w:rPr>
          <w:rFonts w:eastAsia="仿宋_GB2312"/>
          <w:b/>
          <w:sz w:val="28"/>
          <w:szCs w:val="28"/>
        </w:rPr>
      </w:pPr>
      <w:r>
        <w:rPr>
          <w:rFonts w:eastAsia="仿宋_GB2312"/>
          <w:b/>
          <w:sz w:val="28"/>
          <w:szCs w:val="28"/>
        </w:rPr>
        <w:t>（二）评分标准</w:t>
      </w:r>
    </w:p>
    <w:tbl>
      <w:tblPr>
        <w:jc w:val="left"/>
        <w:tblInd w:w="-319" w:type="dxa"/>
        <w:tblW w:w="9119"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24"/>
        <w:gridCol w:w="840"/>
        <w:gridCol w:w="1155"/>
        <w:gridCol w:w="6300"/>
      </w:tblGrid>
      <w:tr>
        <w:tc>
          <w:tcPr>
            <w:tcW w:w="824" w:type="dxa"/>
            <w:tcBorders>
              <w:top w:val="single" w:sz="4" w:space="0" w:color="auto"/>
              <w:left w:val="single" w:sz="4" w:space="0" w:color="auto"/>
              <w:bottom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eastAsia="方正黑体_GBK" w:cs="宋体" w:hint="eastAsia"/>
                <w:color w:val="000000"/>
                <w:sz w:val="28"/>
                <w:szCs w:val="28"/>
                <w:shd w:val="clear" w:color="auto" w:fill="auto"/>
                <w:highlight w:val="auto"/>
              </w:rPr>
            </w:pPr>
            <w:r>
              <w:rPr>
                <w:rFonts w:ascii="方正黑体_GBK" w:eastAsia="方正黑体_GBK" w:cs="宋体" w:hint="eastAsia"/>
                <w:color w:val="000000"/>
                <w:sz w:val="28"/>
                <w:szCs w:val="28"/>
                <w:shd w:val="clear" w:color="auto" w:fill="auto"/>
                <w:highlight w:val="auto"/>
              </w:rPr>
              <w:t>序号</w:t>
            </w:r>
          </w:p>
        </w:tc>
        <w:tc>
          <w:tcPr>
            <w:tcW w:w="1995" w:type="dxa"/>
            <w:gridSpan w:val="2"/>
            <w:tcBorders>
              <w:top w:val="single" w:sz="4" w:space="0" w:color="auto"/>
              <w:left w:val="single" w:sz="4" w:space="0" w:color="auto"/>
              <w:bottom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eastAsia="方正黑体_GBK" w:cs="宋体" w:hint="eastAsia"/>
                <w:color w:val="000000"/>
                <w:sz w:val="28"/>
                <w:szCs w:val="28"/>
                <w:shd w:val="clear" w:color="auto" w:fill="auto"/>
                <w:highlight w:val="auto"/>
              </w:rPr>
            </w:pPr>
            <w:r>
              <w:rPr>
                <w:rFonts w:ascii="方正黑体_GBK" w:eastAsia="方正黑体_GBK" w:cs="宋体" w:hint="eastAsia"/>
                <w:color w:val="000000"/>
                <w:sz w:val="28"/>
                <w:szCs w:val="28"/>
                <w:shd w:val="clear" w:color="auto" w:fill="auto"/>
                <w:highlight w:val="auto"/>
              </w:rPr>
              <w:t>评分因素</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eastAsia="方正黑体_GBK" w:cs="宋体" w:hint="eastAsia"/>
                <w:color w:val="000000"/>
                <w:sz w:val="28"/>
                <w:szCs w:val="28"/>
                <w:shd w:val="clear" w:color="auto" w:fill="auto"/>
                <w:highlight w:val="auto"/>
              </w:rPr>
            </w:pPr>
            <w:r>
              <w:rPr>
                <w:rFonts w:ascii="方正黑体_GBK" w:eastAsia="方正黑体_GBK" w:cs="宋体" w:hint="eastAsia"/>
                <w:color w:val="000000"/>
                <w:sz w:val="28"/>
                <w:szCs w:val="28"/>
                <w:shd w:val="clear" w:color="auto" w:fill="auto"/>
                <w:highlight w:val="auto"/>
              </w:rPr>
              <w:t>评分标准</w:t>
            </w:r>
          </w:p>
        </w:tc>
      </w:tr>
      <w:tr>
        <w:trPr>
          <w:trHeight w:val="895"/>
        </w:trPr>
        <w:tc>
          <w:tcPr>
            <w:tcW w:w="824" w:type="dxa"/>
            <w:tcBorders>
              <w:top w:val="single" w:sz="4" w:space="0" w:color="auto"/>
              <w:left w:val="single" w:sz="4" w:space="0" w:color="auto"/>
              <w:bottom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b/>
                <w:color w:val="auto"/>
                <w:sz w:val="24"/>
                <w:szCs w:val="24"/>
                <w:highlight w:val="auto"/>
              </w:rPr>
            </w:pPr>
            <w:r>
              <w:rPr>
                <w:rFonts w:ascii="Times New Roman" w:eastAsia="方正仿宋_GBK" w:cs="Times New Roman" w:hAnsi="Times New Roman"/>
                <w:b/>
                <w:color w:val="auto"/>
                <w:sz w:val="24"/>
                <w:szCs w:val="24"/>
                <w:highlight w:val="auto"/>
              </w:rPr>
              <w:t>1</w:t>
            </w:r>
          </w:p>
        </w:tc>
        <w:tc>
          <w:tcPr>
            <w:tcW w:w="1995" w:type="dxa"/>
            <w:gridSpan w:val="2"/>
            <w:tcBorders>
              <w:top w:val="single" w:sz="4" w:space="0" w:color="auto"/>
              <w:left w:val="single" w:sz="4" w:space="0" w:color="auto"/>
              <w:bottom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b/>
                <w:color w:val="auto"/>
                <w:sz w:val="24"/>
                <w:szCs w:val="24"/>
                <w:highlight w:val="auto"/>
              </w:rPr>
            </w:pPr>
            <w:r>
              <w:rPr>
                <w:rFonts w:ascii="Times New Roman" w:eastAsia="方正仿宋_GBK" w:cs="Times New Roman" w:hAnsi="Times New Roman"/>
                <w:b/>
                <w:color w:val="auto"/>
                <w:sz w:val="24"/>
                <w:szCs w:val="24"/>
                <w:highlight w:val="auto"/>
              </w:rPr>
              <w:t>价格分</w:t>
            </w:r>
          </w:p>
          <w:p>
            <w:pPr>
              <w:pStyle w:val="40"/>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szCs w:val="24"/>
                <w:highlight w:val="auto"/>
              </w:rPr>
            </w:pPr>
            <w:r>
              <w:rPr>
                <w:rFonts w:ascii="Times New Roman" w:eastAsia="方正仿宋_GBK" w:cs="Times New Roman" w:hAnsi="Times New Roman"/>
                <w:b/>
                <w:color w:val="auto"/>
                <w:sz w:val="24"/>
                <w:szCs w:val="24"/>
                <w:highlight w:val="auto"/>
              </w:rPr>
              <w:t>（</w:t>
            </w:r>
            <w:r>
              <w:rPr>
                <w:rFonts w:ascii="Times New Roman" w:eastAsia="方正仿宋_GBK" w:cs="Times New Roman" w:hAnsi="Times New Roman"/>
                <w:b/>
                <w:color w:val="auto"/>
                <w:sz w:val="24"/>
                <w:szCs w:val="24"/>
                <w:lang w:val="en-US" w:eastAsia="zh-CN"/>
                <w:highlight w:val="auto"/>
              </w:rPr>
              <w:t>3</w:t>
            </w:r>
            <w:r>
              <w:rPr>
                <w:rFonts w:ascii="Times New Roman" w:eastAsia="方正仿宋_GBK" w:cs="Times New Roman" w:hAnsi="Times New Roman"/>
                <w:b/>
                <w:color w:val="auto"/>
                <w:sz w:val="24"/>
                <w:szCs w:val="24"/>
                <w:highlight w:val="auto"/>
              </w:rPr>
              <w:t>0分）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bCs/>
                <w:color w:val="auto"/>
                <w:sz w:val="24"/>
                <w:szCs w:val="24"/>
                <w:highlight w:val="auto"/>
              </w:rPr>
            </w:pPr>
            <w:r>
              <w:rPr>
                <w:rFonts w:ascii="方正仿宋_GBK" w:eastAsia="方正仿宋_GBK" w:cs="Times New Roman" w:hint="eastAsia"/>
                <w:bCs/>
                <w:color w:val="auto"/>
                <w:sz w:val="24"/>
                <w:szCs w:val="24"/>
                <w:highlight w:val="auto"/>
              </w:rPr>
              <w:t>①</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基准价</w:t>
            </w:r>
          </w:p>
          <w:p>
            <w:pPr>
              <w:pStyle w:val="40"/>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bCs/>
                <w:color w:val="auto"/>
                <w:sz w:val="24"/>
                <w:szCs w:val="24"/>
                <w:highlight w:val="auto"/>
              </w:rPr>
            </w:pP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基准价=有效</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报价的平均值；</w:t>
            </w:r>
          </w:p>
          <w:p>
            <w:pPr>
              <w:pStyle w:val="40"/>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bCs/>
                <w:color w:val="auto"/>
                <w:sz w:val="24"/>
                <w:szCs w:val="24"/>
                <w:highlight w:val="auto"/>
              </w:rPr>
            </w:pPr>
            <w:r>
              <w:rPr>
                <w:rFonts w:ascii="方正仿宋_GBK" w:eastAsia="方正仿宋_GBK" w:cs="Times New Roman" w:hint="eastAsia"/>
                <w:bCs/>
                <w:color w:val="auto"/>
                <w:sz w:val="24"/>
                <w:szCs w:val="24"/>
                <w:highlight w:val="auto"/>
              </w:rPr>
              <w:t>②</w:t>
            </w:r>
            <w:r>
              <w:rPr>
                <w:rFonts w:ascii="Times New Roman" w:eastAsia="方正仿宋_GBK" w:cs="Times New Roman" w:hAnsi="Times New Roman"/>
                <w:bCs/>
                <w:color w:val="auto"/>
                <w:sz w:val="24"/>
                <w:szCs w:val="24"/>
                <w:highlight w:val="auto"/>
              </w:rPr>
              <w:t>价格分计算方法（按四舍五入取至小数点后两位）：</w:t>
            </w:r>
          </w:p>
          <w:p>
            <w:pPr>
              <w:pStyle w:val="40"/>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bCs/>
                <w:color w:val="auto"/>
                <w:sz w:val="24"/>
                <w:szCs w:val="24"/>
                <w:highlight w:val="auto"/>
              </w:rPr>
            </w:pPr>
            <w:r>
              <w:rPr>
                <w:rFonts w:ascii="Times New Roman" w:eastAsia="方正仿宋_GBK" w:cs="Times New Roman" w:hAnsi="Times New Roman"/>
                <w:bCs/>
                <w:color w:val="auto"/>
                <w:sz w:val="24"/>
                <w:szCs w:val="24"/>
                <w:highlight w:val="auto"/>
              </w:rPr>
              <w:t>A.</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报价低于或等于评标基准价</w:t>
            </w:r>
          </w:p>
          <w:p>
            <w:pPr>
              <w:pStyle w:val="40"/>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bCs/>
                <w:color w:val="auto"/>
                <w:sz w:val="24"/>
                <w:szCs w:val="24"/>
                <w:highlight w:val="auto"/>
              </w:rPr>
            </w:pPr>
            <w:r>
              <w:rPr>
                <w:rFonts w:ascii="Times New Roman" w:eastAsia="方正仿宋_GBK" w:cs="Times New Roman" w:hAnsi="Times New Roman"/>
                <w:bCs/>
                <w:color w:val="auto"/>
                <w:sz w:val="24"/>
                <w:szCs w:val="24"/>
                <w:lang w:val="en-US" w:eastAsia="zh-CN"/>
                <w:highlight w:val="auto"/>
              </w:rPr>
              <w:t>响应</w:t>
            </w:r>
            <w:r>
              <w:rPr>
                <w:rFonts w:ascii="Times New Roman" w:eastAsia="方正仿宋_GBK" w:cs="Times New Roman" w:hAnsi="Times New Roman"/>
                <w:bCs/>
                <w:color w:val="auto"/>
                <w:sz w:val="24"/>
                <w:szCs w:val="24"/>
                <w:highlight w:val="auto"/>
              </w:rPr>
              <w:t>报价得分=（1-|</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报价-</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基准价｜/</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基准价）×标准分</w:t>
            </w:r>
          </w:p>
          <w:p>
            <w:pPr>
              <w:pStyle w:val="40"/>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bCs/>
                <w:color w:val="auto"/>
                <w:sz w:val="24"/>
                <w:szCs w:val="24"/>
                <w:highlight w:val="auto"/>
              </w:rPr>
            </w:pPr>
            <w:r>
              <w:rPr>
                <w:rFonts w:ascii="Times New Roman" w:eastAsia="方正仿宋_GBK" w:cs="Times New Roman" w:hAnsi="Times New Roman"/>
                <w:bCs/>
                <w:color w:val="auto"/>
                <w:sz w:val="24"/>
                <w:szCs w:val="24"/>
                <w:highlight w:val="auto"/>
              </w:rPr>
              <w:t>B.</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报价高于</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基准价</w:t>
            </w:r>
          </w:p>
          <w:p>
            <w:pPr>
              <w:pStyle w:val="40"/>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bCs/>
                <w:color w:val="auto"/>
                <w:sz w:val="24"/>
                <w:szCs w:val="24"/>
                <w:highlight w:val="auto"/>
              </w:rPr>
            </w:pP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报价得分=（1-|</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报价-</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基准价｜/</w:t>
            </w:r>
            <w:r>
              <w:rPr>
                <w:rFonts w:ascii="Times New Roman" w:eastAsia="方正仿宋_GBK" w:cs="Times New Roman" w:hAnsi="Times New Roman"/>
                <w:bCs/>
                <w:color w:val="auto"/>
                <w:sz w:val="24"/>
                <w:szCs w:val="24"/>
                <w:lang w:val="en-US" w:eastAsia="zh-CN"/>
                <w:highlight w:val="auto"/>
              </w:rPr>
              <w:t>评审</w:t>
            </w:r>
            <w:r>
              <w:rPr>
                <w:rFonts w:ascii="Times New Roman" w:eastAsia="方正仿宋_GBK" w:cs="Times New Roman" w:hAnsi="Times New Roman"/>
                <w:bCs/>
                <w:color w:val="auto"/>
                <w:sz w:val="24"/>
                <w:szCs w:val="24"/>
                <w:highlight w:val="auto"/>
              </w:rPr>
              <w:t>基准价）×标准分×0.9</w:t>
            </w:r>
          </w:p>
          <w:p>
            <w:pPr>
              <w:pStyle w:val="40"/>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bCs/>
                <w:color w:val="auto"/>
                <w:sz w:val="24"/>
                <w:szCs w:val="24"/>
                <w:highlight w:val="auto"/>
              </w:rPr>
            </w:pPr>
            <w:r>
              <w:rPr>
                <w:rFonts w:ascii="Times New Roman" w:eastAsia="方正仿宋_GBK" w:cs="Times New Roman" w:hAnsi="Times New Roman"/>
                <w:bCs/>
                <w:color w:val="auto"/>
                <w:sz w:val="24"/>
                <w:szCs w:val="24"/>
                <w:highlight w:val="auto"/>
              </w:rPr>
              <w:t>最终成交金额=最后报价</w:t>
            </w:r>
          </w:p>
        </w:tc>
      </w:tr>
      <w:tr>
        <w:trPr>
          <w:trHeight w:val="3283"/>
        </w:trPr>
        <w:tc>
          <w:tcPr>
            <w:tcW w:w="824" w:type="dxa"/>
            <w:vMerge w:val="restart"/>
            <w:tcBorders>
              <w:top w:val="single" w:sz="4" w:space="0" w:color="auto"/>
              <w:left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lang w:val="en-US" w:eastAsia="zh-CN"/>
                <w:highlight w:val="auto"/>
              </w:rPr>
            </w:pPr>
          </w:p>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2</w:t>
            </w:r>
          </w:p>
        </w:tc>
        <w:tc>
          <w:tcPr>
            <w:tcW w:w="840" w:type="dxa"/>
            <w:vMerge w:val="restart"/>
            <w:tcBorders>
              <w:top w:val="single" w:sz="4" w:space="0" w:color="auto"/>
              <w:left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b/>
                <w:bCs/>
                <w:color w:val="auto"/>
                <w:sz w:val="24"/>
                <w:szCs w:val="24"/>
                <w:highlight w:val="auto"/>
              </w:rPr>
            </w:pPr>
            <w:r>
              <w:rPr>
                <w:rFonts w:ascii="Times New Roman" w:eastAsia="方正仿宋_GBK" w:cs="Times New Roman" w:hAnsi="Times New Roman"/>
                <w:b/>
                <w:bCs/>
                <w:color w:val="auto"/>
                <w:sz w:val="24"/>
                <w:szCs w:val="24"/>
                <w:highlight w:val="auto"/>
              </w:rPr>
              <w:t>技术分</w:t>
            </w:r>
          </w:p>
          <w:p>
            <w:pPr>
              <w:pStyle w:val="40"/>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szCs w:val="24"/>
                <w:highlight w:val="auto"/>
              </w:rPr>
            </w:pPr>
            <w:r>
              <w:rPr>
                <w:rFonts w:ascii="Times New Roman" w:eastAsia="方正仿宋_GBK" w:cs="Times New Roman" w:hAnsi="Times New Roman"/>
                <w:b/>
                <w:bCs/>
                <w:color w:val="auto"/>
                <w:sz w:val="24"/>
                <w:szCs w:val="24"/>
                <w:highlight w:val="auto"/>
              </w:rPr>
              <w:t>（</w:t>
            </w:r>
            <w:r>
              <w:rPr>
                <w:rFonts w:ascii="Times New Roman" w:eastAsia="方正仿宋_GBK" w:cs="Times New Roman" w:hAnsi="Times New Roman"/>
                <w:b/>
                <w:bCs/>
                <w:color w:val="auto"/>
                <w:sz w:val="24"/>
                <w:szCs w:val="24"/>
                <w:lang w:val="en-US" w:eastAsia="zh-CN"/>
                <w:highlight w:val="auto"/>
              </w:rPr>
              <w:t>55</w:t>
            </w:r>
            <w:r>
              <w:rPr>
                <w:rFonts w:ascii="Times New Roman" w:eastAsia="方正仿宋_GBK" w:cs="Times New Roman" w:hAnsi="Times New Roman"/>
                <w:b/>
                <w:bCs/>
                <w:color w:val="auto"/>
                <w:sz w:val="24"/>
                <w:szCs w:val="24"/>
                <w:highlight w:val="auto"/>
              </w:rPr>
              <w:t>分）</w:t>
            </w: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b w:val="0"/>
                <w:bCs w:val="0"/>
                <w:strike/>
                <w:dstrike w:val="0"/>
                <w:color w:val="auto"/>
                <w:sz w:val="24"/>
                <w:lang w:val="en-US" w:eastAsia="zh-CN"/>
                <w:highlight w:val="auto"/>
              </w:rPr>
            </w:pPr>
          </w:p>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sz w:val="24"/>
                <w:lang w:eastAsia="zh-CN"/>
                <w:highlight w:val="auto"/>
              </w:rPr>
              <w:t>海关检疫场景沉浸式体验</w:t>
            </w:r>
            <w:r>
              <w:rPr>
                <w:rFonts w:ascii="Times New Roman" w:eastAsia="方正仿宋_GBK" w:cs="Times New Roman" w:hAnsi="Times New Roman"/>
                <w:sz w:val="24"/>
                <w:lang w:val="en-US" w:eastAsia="zh-CN"/>
                <w:highlight w:val="auto"/>
              </w:rPr>
              <w:t>设计方案</w:t>
            </w:r>
            <w:r>
              <w:rPr>
                <w:rFonts w:ascii="Times New Roman" w:eastAsia="方正仿宋_GBK" w:cs="Times New Roman" w:hAnsi="Times New Roman"/>
                <w:color w:val="auto"/>
                <w:sz w:val="24"/>
                <w:highlight w:val="auto"/>
              </w:rPr>
              <w:t>（</w:t>
            </w:r>
            <w:r>
              <w:rPr>
                <w:rFonts w:ascii="Times New Roman" w:eastAsia="方正仿宋_GBK" w:cs="Times New Roman" w:hAnsi="Times New Roman"/>
                <w:color w:val="auto"/>
                <w:sz w:val="24"/>
                <w:lang w:val="en-US" w:eastAsia="zh-CN"/>
                <w:highlight w:val="auto"/>
              </w:rPr>
              <w:t>10</w:t>
            </w:r>
            <w:r>
              <w:rPr>
                <w:rFonts w:ascii="Times New Roman" w:eastAsia="方正仿宋_GBK" w:cs="Times New Roman" w:hAnsi="Times New Roman"/>
                <w:color w:val="auto"/>
                <w:sz w:val="24"/>
                <w:highlight w:val="auto"/>
              </w:rPr>
              <w:t>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一档（</w:t>
            </w:r>
            <w:r>
              <w:rPr>
                <w:rFonts w:ascii="Times New Roman" w:eastAsia="方正仿宋_GBK" w:cs="Times New Roman" w:hAnsi="Times New Roman"/>
                <w:sz w:val="24"/>
                <w:lang w:val="en-US" w:eastAsia="zh-CN"/>
                <w:highlight w:val="auto"/>
              </w:rPr>
              <w:t>4</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设计</w:t>
            </w:r>
            <w:r>
              <w:rPr>
                <w:rFonts w:ascii="Times New Roman" w:eastAsia="方正仿宋_GBK" w:cs="Times New Roman" w:hAnsi="Times New Roman"/>
                <w:sz w:val="24"/>
                <w:highlight w:val="auto"/>
              </w:rPr>
              <w:t>方案一般，内容描述简单，要点有偏差或内容部分偏差。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二档（</w:t>
            </w:r>
            <w:r>
              <w:rPr>
                <w:rFonts w:ascii="Times New Roman" w:eastAsia="方正仿宋_GBK" w:cs="Times New Roman" w:hAnsi="Times New Roman"/>
                <w:sz w:val="24"/>
                <w:lang w:val="en-US" w:eastAsia="zh-CN"/>
                <w:highlight w:val="auto"/>
              </w:rPr>
              <w:t>7</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设计</w:t>
            </w:r>
            <w:r>
              <w:rPr>
                <w:rFonts w:ascii="Times New Roman" w:eastAsia="方正仿宋_GBK" w:cs="Times New Roman" w:hAnsi="Times New Roman"/>
                <w:sz w:val="24"/>
                <w:highlight w:val="auto"/>
              </w:rPr>
              <w:t>方案</w:t>
            </w:r>
            <w:r>
              <w:rPr>
                <w:rFonts w:ascii="Times New Roman" w:eastAsia="方正仿宋_GBK" w:cs="Times New Roman" w:hAnsi="Times New Roman"/>
                <w:sz w:val="24"/>
                <w:lang w:val="en-US" w:eastAsia="zh-CN"/>
                <w:highlight w:val="auto"/>
              </w:rPr>
              <w:t>良好，</w:t>
            </w:r>
            <w:r>
              <w:rPr>
                <w:rFonts w:ascii="Times New Roman" w:eastAsia="方正仿宋_GBK" w:cs="Times New Roman" w:hAnsi="Times New Roman"/>
                <w:sz w:val="24"/>
                <w:highlight w:val="auto"/>
              </w:rPr>
              <w:t>展品名称、展示目的、展示内容、操作方法、多媒体脚本等</w:t>
            </w:r>
            <w:r>
              <w:rPr>
                <w:rFonts w:ascii="Times New Roman" w:eastAsia="方正仿宋_GBK" w:cs="Times New Roman" w:hAnsi="Times New Roman"/>
                <w:sz w:val="24"/>
                <w:lang w:val="en-US" w:eastAsia="zh-CN"/>
                <w:highlight w:val="auto"/>
              </w:rPr>
              <w:t>要素齐全</w:t>
            </w:r>
            <w:r>
              <w:rPr>
                <w:rFonts w:ascii="Times New Roman" w:eastAsia="方正仿宋_GBK" w:cs="Times New Roman" w:hAnsi="Times New Roman"/>
                <w:sz w:val="24"/>
                <w:lang w:eastAsia="zh-CN"/>
                <w:highlight w:val="auto"/>
              </w:rPr>
              <w:t>，</w:t>
            </w:r>
            <w:r>
              <w:rPr>
                <w:rFonts w:ascii="Times New Roman" w:eastAsia="方正仿宋_GBK" w:cs="Times New Roman" w:hAnsi="Times New Roman"/>
                <w:sz w:val="24"/>
                <w:highlight w:val="auto"/>
              </w:rPr>
              <w:t>内容基本能够适用于本项目。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三档（</w:t>
            </w:r>
            <w:r>
              <w:rPr>
                <w:rFonts w:ascii="Times New Roman" w:eastAsia="方正仿宋_GBK" w:cs="Times New Roman" w:hAnsi="Times New Roman"/>
                <w:sz w:val="24"/>
                <w:lang w:val="en-US" w:eastAsia="zh-CN"/>
                <w:highlight w:val="auto"/>
              </w:rPr>
              <w:t>10</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设计</w:t>
            </w:r>
            <w:r>
              <w:rPr>
                <w:rFonts w:ascii="Times New Roman" w:eastAsia="方正仿宋_GBK" w:cs="Times New Roman" w:hAnsi="Times New Roman"/>
                <w:sz w:val="24"/>
                <w:highlight w:val="auto"/>
              </w:rPr>
              <w:t>方案优秀，展品名称、展示目的、展示内容、操作方法、多媒体脚本等</w:t>
            </w:r>
            <w:r>
              <w:rPr>
                <w:rFonts w:ascii="Times New Roman" w:eastAsia="方正仿宋_GBK" w:cs="Times New Roman" w:hAnsi="Times New Roman"/>
                <w:sz w:val="24"/>
                <w:lang w:val="en-US" w:eastAsia="zh-CN"/>
                <w:highlight w:val="auto"/>
              </w:rPr>
              <w:t>要素齐全，高度契合项目采购需求</w:t>
            </w:r>
            <w:r>
              <w:rPr>
                <w:rFonts w:ascii="Times New Roman" w:eastAsia="方正仿宋_GBK" w:cs="Times New Roman" w:hAnsi="Times New Roman"/>
                <w:sz w:val="24"/>
                <w:highlight w:val="auto"/>
              </w:rPr>
              <w:t>，</w:t>
            </w:r>
            <w:r>
              <w:rPr>
                <w:rFonts w:ascii="Times New Roman" w:eastAsia="方正仿宋_GBK" w:cs="Times New Roman" w:hAnsi="Times New Roman"/>
                <w:sz w:val="24"/>
                <w:lang w:val="en-US" w:eastAsia="zh-CN"/>
                <w:highlight w:val="auto"/>
              </w:rPr>
              <w:t>能提供设计方案效果图，对其互动模式</w:t>
            </w:r>
            <w:r>
              <w:rPr>
                <w:rFonts w:ascii="Times New Roman" w:eastAsia="方正仿宋_GBK" w:cs="Times New Roman" w:hAnsi="Times New Roman"/>
                <w:sz w:val="24"/>
                <w:highlight w:val="auto"/>
              </w:rPr>
              <w:t>展开详细的阐述且能够适用于本项目。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lang w:val="en-US" w:eastAsia="zh-CN"/>
                <w:highlight w:val="auto"/>
              </w:rPr>
            </w:pPr>
            <w:r>
              <w:rPr>
                <w:rFonts w:ascii="Times New Roman" w:eastAsia="方正仿宋_GBK" w:cs="Times New Roman" w:hAnsi="Times New Roman"/>
                <w:sz w:val="24"/>
                <w:lang w:val="en-US" w:eastAsia="zh-CN"/>
                <w:highlight w:val="auto"/>
              </w:rPr>
              <w:t>注：</w:t>
            </w:r>
            <w:r>
              <w:rPr>
                <w:rFonts w:ascii="Times New Roman" w:eastAsia="方正仿宋_GBK" w:cs="Times New Roman" w:hAnsi="Times New Roman"/>
                <w:sz w:val="24"/>
                <w:highlight w:val="auto"/>
              </w:rPr>
              <w:t>未提供或提供的内容不符合采购需求的，不得分；不满足最低档次要求的不得分。</w:t>
            </w:r>
          </w:p>
        </w:tc>
      </w:tr>
      <w:tr>
        <w:trPr>
          <w:trHeight w:val="466"/>
        </w:trPr>
        <w:tc>
          <w:tcPr>
            <w:tcW w:w="688" w:type="dxa"/>
            <w:vMerge/>
            <w:tcBorders>
              <w:top w:val="single" w:sz="4" w:space="0" w:color="auto"/>
              <w:left w:val="single" w:sz="4" w:space="0" w:color="auto"/>
              <w:bottom w:val="single" w:sz="4" w:space="0" w:color="auto"/>
              <w:right w:val="single" w:sz="4" w:space="0" w:color="auto"/>
            </w:tcBorders>
            <w:noWrap/>
            <w:vAlign w:val="center"/>
          </w:tcPr>
          <w:p/>
        </w:tc>
        <w:tc>
          <w:tcPr>
            <w:tcW w:w="885" w:type="dxa"/>
            <w:vMerge/>
            <w:tcBorders>
              <w:top w:val="single" w:sz="4" w:space="0" w:color="auto"/>
              <w:left w:val="single" w:sz="4" w:space="0" w:color="auto"/>
              <w:bottom w:val="single" w:sz="4" w:space="0" w:color="auto"/>
              <w:right w:val="single" w:sz="4" w:space="0" w:color="auto"/>
            </w:tcBorders>
            <w:noWrap/>
            <w:vAlign w:val="center"/>
          </w:tcP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sz w:val="24"/>
                <w:lang w:eastAsia="zh-CN"/>
                <w:highlight w:val="auto"/>
              </w:rPr>
              <w:t>国门生物安全实景互动设计方案</w:t>
            </w:r>
            <w:r>
              <w:rPr>
                <w:rFonts w:ascii="Times New Roman" w:eastAsia="方正仿宋_GBK" w:cs="Times New Roman" w:hAnsi="Times New Roman"/>
                <w:color w:val="auto"/>
                <w:sz w:val="24"/>
                <w:highlight w:val="auto"/>
              </w:rPr>
              <w:t>（</w:t>
            </w:r>
            <w:r>
              <w:rPr>
                <w:rFonts w:ascii="Times New Roman" w:eastAsia="方正仿宋_GBK" w:cs="Times New Roman" w:hAnsi="Times New Roman"/>
                <w:color w:val="auto"/>
                <w:sz w:val="24"/>
                <w:lang w:val="en-US" w:eastAsia="zh-CN"/>
                <w:highlight w:val="auto"/>
              </w:rPr>
              <w:t>10</w:t>
            </w:r>
            <w:r>
              <w:rPr>
                <w:rFonts w:ascii="Times New Roman" w:eastAsia="方正仿宋_GBK" w:cs="Times New Roman" w:hAnsi="Times New Roman"/>
                <w:color w:val="auto"/>
                <w:sz w:val="24"/>
                <w:highlight w:val="auto"/>
              </w:rPr>
              <w:t>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一档（</w:t>
            </w:r>
            <w:r>
              <w:rPr>
                <w:rFonts w:ascii="Times New Roman" w:eastAsia="方正仿宋_GBK" w:cs="Times New Roman" w:hAnsi="Times New Roman"/>
                <w:sz w:val="24"/>
                <w:lang w:val="en-US" w:eastAsia="zh-CN"/>
                <w:highlight w:val="auto"/>
              </w:rPr>
              <w:t>4</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实景互动</w:t>
            </w:r>
            <w:r>
              <w:rPr>
                <w:rFonts w:ascii="Times New Roman" w:eastAsia="方正仿宋_GBK" w:cs="Times New Roman" w:hAnsi="Times New Roman"/>
                <w:sz w:val="24"/>
                <w:highlight w:val="auto"/>
              </w:rPr>
              <w:t>方案一般，内容描述简单，要点有偏差或内容部分偏差。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二档（</w:t>
            </w:r>
            <w:r>
              <w:rPr>
                <w:rFonts w:ascii="Times New Roman" w:eastAsia="方正仿宋_GBK" w:cs="Times New Roman" w:hAnsi="Times New Roman"/>
                <w:sz w:val="24"/>
                <w:lang w:val="en-US" w:eastAsia="zh-CN"/>
                <w:highlight w:val="auto"/>
              </w:rPr>
              <w:t>7</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实景互动</w:t>
            </w:r>
            <w:r>
              <w:rPr>
                <w:rFonts w:ascii="Times New Roman" w:eastAsia="方正仿宋_GBK" w:cs="Times New Roman" w:hAnsi="Times New Roman"/>
                <w:sz w:val="24"/>
                <w:highlight w:val="auto"/>
              </w:rPr>
              <w:t>方案</w:t>
            </w:r>
            <w:r>
              <w:rPr>
                <w:rFonts w:ascii="Times New Roman" w:eastAsia="方正仿宋_GBK" w:cs="Times New Roman" w:hAnsi="Times New Roman"/>
                <w:sz w:val="24"/>
                <w:lang w:val="en-US" w:eastAsia="zh-CN"/>
                <w:highlight w:val="auto"/>
              </w:rPr>
              <w:t>良好，</w:t>
            </w:r>
            <w:r>
              <w:rPr>
                <w:rFonts w:ascii="Times New Roman" w:eastAsia="方正仿宋_GBK" w:cs="Times New Roman" w:hAnsi="Times New Roman"/>
                <w:sz w:val="24"/>
                <w:highlight w:val="auto"/>
              </w:rPr>
              <w:t>展示内容、操作方法、</w:t>
            </w:r>
            <w:r>
              <w:rPr>
                <w:rFonts w:ascii="Times New Roman" w:eastAsia="方正仿宋_GBK" w:cs="Times New Roman" w:hAnsi="Times New Roman"/>
                <w:sz w:val="24"/>
                <w:lang w:val="en-US" w:eastAsia="zh-CN"/>
                <w:highlight w:val="auto"/>
              </w:rPr>
              <w:t>实景布置、</w:t>
            </w:r>
            <w:r>
              <w:rPr>
                <w:rFonts w:ascii="Times New Roman" w:eastAsia="方正仿宋_GBK" w:cs="Times New Roman" w:hAnsi="Times New Roman"/>
                <w:sz w:val="24"/>
                <w:highlight w:val="auto"/>
              </w:rPr>
              <w:t>多媒体脚本等</w:t>
            </w:r>
            <w:r>
              <w:rPr>
                <w:rFonts w:ascii="Times New Roman" w:eastAsia="方正仿宋_GBK" w:cs="Times New Roman" w:hAnsi="Times New Roman"/>
                <w:sz w:val="24"/>
                <w:lang w:val="en-US" w:eastAsia="zh-CN"/>
                <w:highlight w:val="auto"/>
              </w:rPr>
              <w:t>要素齐全</w:t>
            </w:r>
            <w:r>
              <w:rPr>
                <w:rFonts w:ascii="Times New Roman" w:eastAsia="方正仿宋_GBK" w:cs="Times New Roman" w:hAnsi="Times New Roman"/>
                <w:sz w:val="24"/>
                <w:lang w:eastAsia="zh-CN"/>
                <w:highlight w:val="auto"/>
              </w:rPr>
              <w:t>，</w:t>
            </w:r>
            <w:r>
              <w:rPr>
                <w:rFonts w:ascii="Times New Roman" w:eastAsia="方正仿宋_GBK" w:cs="Times New Roman" w:hAnsi="Times New Roman"/>
                <w:sz w:val="24"/>
                <w:highlight w:val="auto"/>
              </w:rPr>
              <w:t>内容基本能够适用于本项目。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三档（</w:t>
            </w:r>
            <w:r>
              <w:rPr>
                <w:rFonts w:ascii="Times New Roman" w:eastAsia="方正仿宋_GBK" w:cs="Times New Roman" w:hAnsi="Times New Roman"/>
                <w:sz w:val="24"/>
                <w:lang w:val="en-US" w:eastAsia="zh-CN"/>
                <w:highlight w:val="auto"/>
              </w:rPr>
              <w:t>10</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实景互动设计</w:t>
            </w:r>
            <w:r>
              <w:rPr>
                <w:rFonts w:ascii="Times New Roman" w:eastAsia="方正仿宋_GBK" w:cs="Times New Roman" w:hAnsi="Times New Roman"/>
                <w:sz w:val="24"/>
                <w:highlight w:val="auto"/>
              </w:rPr>
              <w:t>方案优秀，展示内容、操作方法、</w:t>
            </w:r>
            <w:r>
              <w:rPr>
                <w:rFonts w:ascii="Times New Roman" w:eastAsia="方正仿宋_GBK" w:cs="Times New Roman" w:hAnsi="Times New Roman"/>
                <w:sz w:val="24"/>
                <w:lang w:val="en-US" w:eastAsia="zh-CN"/>
                <w:highlight w:val="auto"/>
              </w:rPr>
              <w:t>实景布置、</w:t>
            </w:r>
            <w:r>
              <w:rPr>
                <w:rFonts w:ascii="Times New Roman" w:eastAsia="方正仿宋_GBK" w:cs="Times New Roman" w:hAnsi="Times New Roman"/>
                <w:sz w:val="24"/>
                <w:highlight w:val="auto"/>
              </w:rPr>
              <w:t>多媒体脚本等</w:t>
            </w:r>
            <w:r>
              <w:rPr>
                <w:rFonts w:ascii="Times New Roman" w:eastAsia="方正仿宋_GBK" w:cs="Times New Roman" w:hAnsi="Times New Roman"/>
                <w:sz w:val="24"/>
                <w:lang w:val="en-US" w:eastAsia="zh-CN"/>
                <w:highlight w:val="auto"/>
              </w:rPr>
              <w:t>要素齐全，高度契合项目采购需求</w:t>
            </w:r>
            <w:r>
              <w:rPr>
                <w:rFonts w:ascii="Times New Roman" w:eastAsia="方正仿宋_GBK" w:cs="Times New Roman" w:hAnsi="Times New Roman"/>
                <w:sz w:val="24"/>
                <w:highlight w:val="auto"/>
              </w:rPr>
              <w:t>，</w:t>
            </w:r>
            <w:r>
              <w:rPr>
                <w:rFonts w:ascii="Times New Roman" w:eastAsia="方正仿宋_GBK" w:cs="Times New Roman" w:hAnsi="Times New Roman"/>
                <w:sz w:val="24"/>
                <w:lang w:val="en-US" w:eastAsia="zh-CN"/>
                <w:highlight w:val="auto"/>
              </w:rPr>
              <w:t>能提供设计方案效果图，对其互动模式</w:t>
            </w:r>
            <w:r>
              <w:rPr>
                <w:rFonts w:ascii="Times New Roman" w:eastAsia="方正仿宋_GBK" w:cs="Times New Roman" w:hAnsi="Times New Roman"/>
                <w:sz w:val="24"/>
                <w:highlight w:val="auto"/>
              </w:rPr>
              <w:t>展开详细的阐述且能够适用于本项目。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lang w:val="en-US" w:eastAsia="zh-CN"/>
                <w:highlight w:val="auto"/>
              </w:rPr>
            </w:pPr>
            <w:r>
              <w:rPr>
                <w:rFonts w:ascii="Times New Roman" w:eastAsia="方正仿宋_GBK" w:cs="Times New Roman" w:hAnsi="Times New Roman"/>
                <w:sz w:val="24"/>
                <w:lang w:val="en-US" w:eastAsia="zh-CN"/>
                <w:highlight w:val="auto"/>
              </w:rPr>
              <w:t>注：</w:t>
            </w:r>
            <w:r>
              <w:rPr>
                <w:rFonts w:ascii="Times New Roman" w:eastAsia="方正仿宋_GBK" w:cs="Times New Roman" w:hAnsi="Times New Roman"/>
                <w:sz w:val="24"/>
                <w:highlight w:val="auto"/>
              </w:rPr>
              <w:t>未提供或提供的内容不符合采购需求的，不得分；不满足最低档次要求的不得分。</w:t>
            </w:r>
          </w:p>
        </w:tc>
      </w:tr>
      <w:tr>
        <w:trPr>
          <w:trHeight w:val="466"/>
        </w:trPr>
        <w:tc>
          <w:tcPr>
            <w:tcW w:w="688" w:type="dxa"/>
            <w:vMerge/>
            <w:tcBorders>
              <w:top w:val="single" w:sz="4" w:space="0" w:color="auto"/>
              <w:left w:val="single" w:sz="4" w:space="0" w:color="auto"/>
              <w:bottom w:val="single" w:sz="4" w:space="0" w:color="auto"/>
              <w:right w:val="single" w:sz="4" w:space="0" w:color="auto"/>
            </w:tcBorders>
            <w:noWrap/>
            <w:vAlign w:val="center"/>
          </w:tcPr>
          <w:p/>
        </w:tc>
        <w:tc>
          <w:tcPr>
            <w:tcW w:w="885" w:type="dxa"/>
            <w:vMerge/>
            <w:tcBorders>
              <w:top w:val="single" w:sz="4" w:space="0" w:color="auto"/>
              <w:left w:val="single" w:sz="4" w:space="0" w:color="auto"/>
              <w:bottom w:val="single" w:sz="4" w:space="0" w:color="auto"/>
              <w:right w:val="single" w:sz="4" w:space="0" w:color="auto"/>
            </w:tcBorders>
            <w:noWrap/>
            <w:vAlign w:val="center"/>
          </w:tcP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sz w:val="24"/>
                <w:lang w:eastAsia="zh-CN"/>
                <w:highlight w:val="auto"/>
              </w:rPr>
            </w:pPr>
            <w:r>
              <w:rPr>
                <w:rFonts w:ascii="Times New Roman" w:eastAsia="方正仿宋_GBK" w:cs="Times New Roman" w:hAnsi="Times New Roman"/>
                <w:sz w:val="24"/>
                <w:lang w:eastAsia="zh-CN"/>
                <w:highlight w:val="auto"/>
              </w:rPr>
              <w:t>练战互动平台设计方案</w:t>
            </w:r>
            <w:r>
              <w:rPr>
                <w:rFonts w:ascii="Times New Roman" w:eastAsia="方正仿宋_GBK" w:cs="Times New Roman" w:hAnsi="Times New Roman"/>
                <w:color w:val="auto"/>
                <w:sz w:val="24"/>
                <w:highlight w:val="auto"/>
              </w:rPr>
              <w:t>（</w:t>
            </w:r>
            <w:r>
              <w:rPr>
                <w:rFonts w:ascii="Times New Roman" w:eastAsia="方正仿宋_GBK" w:cs="Times New Roman" w:hAnsi="Times New Roman"/>
                <w:color w:val="auto"/>
                <w:sz w:val="24"/>
                <w:lang w:val="en-US" w:eastAsia="zh-CN"/>
                <w:highlight w:val="auto"/>
              </w:rPr>
              <w:t>10</w:t>
            </w:r>
            <w:r>
              <w:rPr>
                <w:rFonts w:ascii="Times New Roman" w:eastAsia="方正仿宋_GBK" w:cs="Times New Roman" w:hAnsi="Times New Roman"/>
                <w:color w:val="auto"/>
                <w:sz w:val="24"/>
                <w:highlight w:val="auto"/>
              </w:rPr>
              <w:t>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一档（</w:t>
            </w:r>
            <w:r>
              <w:rPr>
                <w:rFonts w:ascii="Times New Roman" w:eastAsia="方正仿宋_GBK" w:cs="Times New Roman" w:hAnsi="Times New Roman"/>
                <w:sz w:val="24"/>
                <w:lang w:val="en-US" w:eastAsia="zh-CN"/>
                <w:highlight w:val="auto"/>
              </w:rPr>
              <w:t>4</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练战互动平台设计</w:t>
            </w:r>
            <w:r>
              <w:rPr>
                <w:rFonts w:ascii="Times New Roman" w:eastAsia="方正仿宋_GBK" w:cs="Times New Roman" w:hAnsi="Times New Roman"/>
                <w:sz w:val="24"/>
                <w:highlight w:val="auto"/>
              </w:rPr>
              <w:t>方案一般，内容描述简单，要点有偏差或内容部分偏差。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二档（</w:t>
            </w:r>
            <w:r>
              <w:rPr>
                <w:rFonts w:ascii="Times New Roman" w:eastAsia="方正仿宋_GBK" w:cs="Times New Roman" w:hAnsi="Times New Roman"/>
                <w:sz w:val="24"/>
                <w:lang w:val="en-US" w:eastAsia="zh-CN"/>
                <w:highlight w:val="auto"/>
              </w:rPr>
              <w:t>7</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练战互动平台设计</w:t>
            </w:r>
            <w:r>
              <w:rPr>
                <w:rFonts w:ascii="Times New Roman" w:eastAsia="方正仿宋_GBK" w:cs="Times New Roman" w:hAnsi="Times New Roman"/>
                <w:sz w:val="24"/>
                <w:highlight w:val="auto"/>
              </w:rPr>
              <w:t>方案</w:t>
            </w:r>
            <w:r>
              <w:rPr>
                <w:rFonts w:ascii="Times New Roman" w:eastAsia="方正仿宋_GBK" w:cs="Times New Roman" w:hAnsi="Times New Roman"/>
                <w:sz w:val="24"/>
                <w:lang w:val="en-US" w:eastAsia="zh-CN"/>
                <w:highlight w:val="auto"/>
              </w:rPr>
              <w:t>良好，</w:t>
            </w:r>
            <w:r>
              <w:rPr>
                <w:rFonts w:ascii="Times New Roman" w:eastAsia="方正仿宋_GBK" w:cs="Times New Roman" w:hAnsi="Times New Roman"/>
                <w:sz w:val="24"/>
                <w:highlight w:val="auto"/>
              </w:rPr>
              <w:t>展示内容、操作方法、多媒体脚本</w:t>
            </w:r>
            <w:r>
              <w:rPr>
                <w:rFonts w:ascii="Times New Roman" w:eastAsia="方正仿宋_GBK" w:cs="Times New Roman" w:hAnsi="Times New Roman"/>
                <w:sz w:val="24"/>
                <w:lang w:eastAsia="zh-CN"/>
                <w:highlight w:val="auto"/>
              </w:rPr>
              <w:t>、</w:t>
            </w:r>
            <w:r>
              <w:rPr>
                <w:rFonts w:ascii="Times New Roman" w:eastAsia="方正仿宋_GBK" w:cs="Times New Roman" w:hAnsi="Times New Roman"/>
                <w:sz w:val="24"/>
                <w:lang w:val="en-US" w:eastAsia="zh-CN"/>
                <w:highlight w:val="auto"/>
              </w:rPr>
              <w:t>练战模式</w:t>
            </w:r>
            <w:r>
              <w:rPr>
                <w:rFonts w:ascii="Times New Roman" w:eastAsia="方正仿宋_GBK" w:cs="Times New Roman" w:hAnsi="Times New Roman"/>
                <w:sz w:val="24"/>
                <w:highlight w:val="auto"/>
              </w:rPr>
              <w:t>等</w:t>
            </w:r>
            <w:r>
              <w:rPr>
                <w:rFonts w:ascii="Times New Roman" w:eastAsia="方正仿宋_GBK" w:cs="Times New Roman" w:hAnsi="Times New Roman"/>
                <w:sz w:val="24"/>
                <w:lang w:val="en-US" w:eastAsia="zh-CN"/>
                <w:highlight w:val="auto"/>
              </w:rPr>
              <w:t>要素齐全</w:t>
            </w:r>
            <w:r>
              <w:rPr>
                <w:rFonts w:ascii="Times New Roman" w:eastAsia="方正仿宋_GBK" w:cs="Times New Roman" w:hAnsi="Times New Roman"/>
                <w:sz w:val="24"/>
                <w:lang w:eastAsia="zh-CN"/>
                <w:highlight w:val="auto"/>
              </w:rPr>
              <w:t>，</w:t>
            </w:r>
            <w:r>
              <w:rPr>
                <w:rFonts w:ascii="Times New Roman" w:eastAsia="方正仿宋_GBK" w:cs="Times New Roman" w:hAnsi="Times New Roman"/>
                <w:sz w:val="24"/>
                <w:highlight w:val="auto"/>
              </w:rPr>
              <w:t>内容基本能够适用于本项目。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三档（</w:t>
            </w:r>
            <w:r>
              <w:rPr>
                <w:rFonts w:ascii="Times New Roman" w:eastAsia="方正仿宋_GBK" w:cs="Times New Roman" w:hAnsi="Times New Roman"/>
                <w:sz w:val="24"/>
                <w:lang w:val="en-US" w:eastAsia="zh-CN"/>
                <w:highlight w:val="auto"/>
              </w:rPr>
              <w:t>10</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练战互动平台设计</w:t>
            </w:r>
            <w:r>
              <w:rPr>
                <w:rFonts w:ascii="Times New Roman" w:eastAsia="方正仿宋_GBK" w:cs="Times New Roman" w:hAnsi="Times New Roman"/>
                <w:sz w:val="24"/>
                <w:highlight w:val="auto"/>
              </w:rPr>
              <w:t>方案优秀，展示内容、操作方法、多媒体脚本</w:t>
            </w:r>
            <w:r>
              <w:rPr>
                <w:rFonts w:ascii="Times New Roman" w:eastAsia="方正仿宋_GBK" w:cs="Times New Roman" w:hAnsi="Times New Roman"/>
                <w:sz w:val="24"/>
                <w:lang w:eastAsia="zh-CN"/>
                <w:highlight w:val="auto"/>
              </w:rPr>
              <w:t>、</w:t>
            </w:r>
            <w:r>
              <w:rPr>
                <w:rFonts w:ascii="Times New Roman" w:eastAsia="方正仿宋_GBK" w:cs="Times New Roman" w:hAnsi="Times New Roman"/>
                <w:sz w:val="24"/>
                <w:lang w:val="en-US" w:eastAsia="zh-CN"/>
                <w:highlight w:val="auto"/>
              </w:rPr>
              <w:t>练战模式</w:t>
            </w:r>
            <w:r>
              <w:rPr>
                <w:rFonts w:ascii="Times New Roman" w:eastAsia="方正仿宋_GBK" w:cs="Times New Roman" w:hAnsi="Times New Roman"/>
                <w:sz w:val="24"/>
                <w:highlight w:val="auto"/>
              </w:rPr>
              <w:t>等</w:t>
            </w:r>
            <w:r>
              <w:rPr>
                <w:rFonts w:ascii="Times New Roman" w:eastAsia="方正仿宋_GBK" w:cs="Times New Roman" w:hAnsi="Times New Roman"/>
                <w:sz w:val="24"/>
                <w:lang w:val="en-US" w:eastAsia="zh-CN"/>
                <w:highlight w:val="auto"/>
              </w:rPr>
              <w:t>要素齐全，高度契合项目采购需求</w:t>
            </w:r>
            <w:r>
              <w:rPr>
                <w:rFonts w:ascii="Times New Roman" w:eastAsia="方正仿宋_GBK" w:cs="Times New Roman" w:hAnsi="Times New Roman"/>
                <w:sz w:val="24"/>
                <w:highlight w:val="auto"/>
              </w:rPr>
              <w:t>，</w:t>
            </w:r>
            <w:r>
              <w:rPr>
                <w:rFonts w:ascii="Times New Roman" w:eastAsia="方正仿宋_GBK" w:cs="Times New Roman" w:hAnsi="Times New Roman"/>
                <w:sz w:val="24"/>
                <w:lang w:val="en-US" w:eastAsia="zh-CN"/>
                <w:highlight w:val="auto"/>
              </w:rPr>
              <w:t>能提供设计方案效果图，对其互动模式</w:t>
            </w:r>
            <w:r>
              <w:rPr>
                <w:rFonts w:ascii="Times New Roman" w:eastAsia="方正仿宋_GBK" w:cs="Times New Roman" w:hAnsi="Times New Roman"/>
                <w:sz w:val="24"/>
                <w:highlight w:val="auto"/>
              </w:rPr>
              <w:t>展开详细的阐述且能够适用于本项目。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lang w:val="en-US" w:eastAsia="zh-CN"/>
                <w:highlight w:val="auto"/>
              </w:rPr>
            </w:pPr>
            <w:r>
              <w:rPr>
                <w:rFonts w:ascii="Times New Roman" w:eastAsia="方正仿宋_GBK" w:cs="Times New Roman" w:hAnsi="Times New Roman"/>
                <w:sz w:val="24"/>
                <w:lang w:val="en-US" w:eastAsia="zh-CN"/>
                <w:highlight w:val="auto"/>
              </w:rPr>
              <w:t>注：</w:t>
            </w:r>
            <w:r>
              <w:rPr>
                <w:rFonts w:ascii="Times New Roman" w:eastAsia="方正仿宋_GBK" w:cs="Times New Roman" w:hAnsi="Times New Roman"/>
                <w:sz w:val="24"/>
                <w:highlight w:val="auto"/>
              </w:rPr>
              <w:t>未提供或提供的内容不符合采购需求的，不得分；不满足最低档次要求的不得分。</w:t>
            </w:r>
          </w:p>
        </w:tc>
      </w:tr>
      <w:tr>
        <w:trPr>
          <w:trHeight w:val="1378"/>
        </w:trPr>
        <w:tc>
          <w:tcPr>
            <w:tcW w:w="688" w:type="dxa"/>
            <w:vMerge/>
            <w:tcBorders>
              <w:top w:val="single" w:sz="4" w:space="0" w:color="auto"/>
              <w:left w:val="single" w:sz="4" w:space="0" w:color="auto"/>
              <w:bottom w:val="single" w:sz="4" w:space="0" w:color="auto"/>
              <w:right w:val="single" w:sz="4" w:space="0" w:color="auto"/>
            </w:tcBorders>
            <w:noWrap/>
            <w:vAlign w:val="center"/>
          </w:tcPr>
          <w:p/>
        </w:tc>
        <w:tc>
          <w:tcPr>
            <w:tcW w:w="885" w:type="dxa"/>
            <w:vMerge/>
            <w:tcBorders>
              <w:top w:val="single" w:sz="4" w:space="0" w:color="auto"/>
              <w:left w:val="single" w:sz="4" w:space="0" w:color="auto"/>
              <w:bottom w:val="single" w:sz="4" w:space="0" w:color="auto"/>
              <w:right w:val="single" w:sz="4" w:space="0" w:color="auto"/>
            </w:tcBorders>
            <w:noWrap/>
            <w:vAlign w:val="center"/>
          </w:tcP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项目实施方案</w:t>
            </w:r>
          </w:p>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w:t>
            </w:r>
            <w:r>
              <w:rPr>
                <w:rFonts w:ascii="Times New Roman" w:eastAsia="方正仿宋_GBK" w:cs="Times New Roman" w:hAnsi="Times New Roman"/>
                <w:color w:val="auto"/>
                <w:sz w:val="24"/>
                <w:lang w:val="en-US" w:eastAsia="zh-CN"/>
                <w:highlight w:val="auto"/>
              </w:rPr>
              <w:t>10</w:t>
            </w:r>
            <w:r>
              <w:rPr>
                <w:rFonts w:ascii="Times New Roman" w:eastAsia="方正仿宋_GBK" w:cs="Times New Roman" w:hAnsi="Times New Roman"/>
                <w:color w:val="auto"/>
                <w:sz w:val="24"/>
                <w:highlight w:val="auto"/>
              </w:rPr>
              <w:t>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一档(</w:t>
            </w:r>
            <w:r>
              <w:rPr>
                <w:rFonts w:ascii="Times New Roman" w:eastAsia="方正仿宋_GBK" w:cs="Times New Roman" w:hAnsi="Times New Roman"/>
                <w:sz w:val="24"/>
                <w:lang w:val="en-US" w:eastAsia="zh-CN"/>
                <w:highlight w:val="auto"/>
              </w:rPr>
              <w:t>4</w:t>
            </w:r>
            <w:r>
              <w:rPr>
                <w:rFonts w:ascii="Times New Roman" w:eastAsia="方正仿宋_GBK" w:cs="Times New Roman" w:hAnsi="Times New Roman"/>
                <w:sz w:val="24"/>
                <w:highlight w:val="auto"/>
              </w:rPr>
              <w:t>分)：能提出完整的实施方案大纲；方案简单，有重点内容、措施列举但内容简单，对项目需求有简单的分析，基本满足采购要求。</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二档(</w:t>
            </w:r>
            <w:r>
              <w:rPr>
                <w:rFonts w:ascii="Times New Roman" w:eastAsia="方正仿宋_GBK" w:cs="Times New Roman" w:hAnsi="Times New Roman"/>
                <w:sz w:val="24"/>
                <w:lang w:val="en-US" w:eastAsia="zh-CN"/>
                <w:highlight w:val="auto"/>
              </w:rPr>
              <w:t>7</w:t>
            </w:r>
            <w:r>
              <w:rPr>
                <w:rFonts w:ascii="Times New Roman" w:eastAsia="方正仿宋_GBK" w:cs="Times New Roman" w:hAnsi="Times New Roman"/>
                <w:sz w:val="24"/>
                <w:highlight w:val="auto"/>
              </w:rPr>
              <w:t>分)：能提出质量较高实施方案大纲；且方案重点内容、措施良好，对项目需求分析全面，有细化的项目进度计划流程，团队人员分工明确，有类似的服务经验；组织管理措施有具体的时间、质量、进度控制，方案可行性良好，满足采购要求。</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三档(</w:t>
            </w:r>
            <w:r>
              <w:rPr>
                <w:rFonts w:ascii="Times New Roman" w:eastAsia="方正仿宋_GBK" w:cs="Times New Roman" w:hAnsi="Times New Roman"/>
                <w:sz w:val="24"/>
                <w:lang w:val="en-US" w:eastAsia="zh-CN"/>
                <w:highlight w:val="auto"/>
              </w:rPr>
              <w:t>10</w:t>
            </w:r>
            <w:r>
              <w:rPr>
                <w:rFonts w:ascii="Times New Roman" w:eastAsia="方正仿宋_GBK" w:cs="Times New Roman" w:hAnsi="Times New Roman"/>
                <w:sz w:val="24"/>
                <w:highlight w:val="auto"/>
              </w:rPr>
              <w:t>分)：能按照本项目相关要求提出全面完整、详细实施方案大纲，且方案重点内容突出，措施合理、具体，对项目需求分析理解深刻、有延展性，针对本项目配备优秀的、经验丰富的实施团队；有细化的项目进度计划流程，团队人员分工明确，有丰富的管理、服务经验；组织管理措施有具体的时间、质量、进度控制，科学合理，有针对性且可行性高，并在满足采购要求的前提下能提出合理化建议并被接受。</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lang w:val="en-US" w:eastAsia="zh-CN"/>
                <w:highlight w:val="auto"/>
              </w:rPr>
              <w:t>注：</w:t>
            </w:r>
            <w:r>
              <w:rPr>
                <w:rFonts w:ascii="Times New Roman" w:eastAsia="方正仿宋_GBK" w:cs="Times New Roman" w:hAnsi="Times New Roman"/>
                <w:sz w:val="24"/>
                <w:highlight w:val="auto"/>
              </w:rPr>
              <w:t>未提供或提供的内容不符合采购需求的，不得分；不满足最低档次要求的不得分。</w:t>
            </w:r>
          </w:p>
        </w:tc>
      </w:tr>
      <w:tr>
        <w:trPr>
          <w:trHeight w:val="1378"/>
        </w:trPr>
        <w:tc>
          <w:tcPr>
            <w:tcW w:w="688" w:type="dxa"/>
            <w:vMerge/>
            <w:tcBorders>
              <w:top w:val="single" w:sz="4" w:space="0" w:color="auto"/>
              <w:left w:val="single" w:sz="4" w:space="0" w:color="auto"/>
              <w:bottom w:val="single" w:sz="4" w:space="0" w:color="auto"/>
              <w:right w:val="single" w:sz="4" w:space="0" w:color="auto"/>
            </w:tcBorders>
            <w:noWrap/>
            <w:vAlign w:val="center"/>
          </w:tcPr>
          <w:p/>
        </w:tc>
        <w:tc>
          <w:tcPr>
            <w:tcW w:w="885" w:type="dxa"/>
            <w:vMerge/>
            <w:tcBorders>
              <w:top w:val="single" w:sz="4" w:space="0" w:color="auto"/>
              <w:left w:val="single" w:sz="4" w:space="0" w:color="auto"/>
              <w:bottom w:val="single" w:sz="4" w:space="0" w:color="auto"/>
              <w:right w:val="single" w:sz="4" w:space="0" w:color="auto"/>
            </w:tcBorders>
            <w:noWrap/>
            <w:vAlign w:val="center"/>
          </w:tcP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售后服务方案</w:t>
            </w:r>
          </w:p>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w:t>
            </w:r>
            <w:r>
              <w:rPr>
                <w:rFonts w:ascii="Times New Roman" w:eastAsia="方正仿宋_GBK" w:cs="Times New Roman" w:hAnsi="Times New Roman"/>
                <w:color w:val="auto"/>
                <w:sz w:val="24"/>
                <w:lang w:val="en-US" w:eastAsia="zh-CN"/>
                <w:highlight w:val="auto"/>
              </w:rPr>
              <w:t>10</w:t>
            </w:r>
            <w:r>
              <w:rPr>
                <w:rFonts w:ascii="Times New Roman" w:eastAsia="方正仿宋_GBK" w:cs="Times New Roman" w:hAnsi="Times New Roman"/>
                <w:color w:val="auto"/>
                <w:sz w:val="24"/>
                <w:highlight w:val="auto"/>
              </w:rPr>
              <w:t>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一档（</w:t>
            </w:r>
            <w:r>
              <w:rPr>
                <w:rFonts w:ascii="Times New Roman" w:eastAsia="方正仿宋_GBK" w:cs="Times New Roman" w:hAnsi="Times New Roman"/>
                <w:sz w:val="24"/>
                <w:lang w:val="en-US" w:eastAsia="zh-CN"/>
                <w:highlight w:val="auto"/>
              </w:rPr>
              <w:t>4</w:t>
            </w:r>
            <w:r>
              <w:rPr>
                <w:rFonts w:ascii="Times New Roman" w:eastAsia="方正仿宋_GBK" w:cs="Times New Roman" w:hAnsi="Times New Roman"/>
                <w:sz w:val="24"/>
                <w:highlight w:val="auto"/>
              </w:rPr>
              <w:t>分）：售后服务方案一般，内容描述简单，售后服务承诺时间基本满足本项目最低时间要求。</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二档（</w:t>
            </w:r>
            <w:r>
              <w:rPr>
                <w:rFonts w:ascii="Times New Roman" w:eastAsia="方正仿宋_GBK" w:cs="Times New Roman" w:hAnsi="Times New Roman"/>
                <w:sz w:val="24"/>
                <w:lang w:val="en-US" w:eastAsia="zh-CN"/>
                <w:highlight w:val="auto"/>
              </w:rPr>
              <w:t>7</w:t>
            </w:r>
            <w:r>
              <w:rPr>
                <w:rFonts w:ascii="Times New Roman" w:eastAsia="方正仿宋_GBK" w:cs="Times New Roman" w:hAnsi="Times New Roman"/>
                <w:sz w:val="24"/>
                <w:highlight w:val="auto"/>
              </w:rPr>
              <w:t>分）：售后服务方案良好，有售后服务承诺，售后服务流程、质量保障，售后服务承诺时间优于本项目最低要求，服务承诺内容有一定针对性，有具体的服务流程说明，服务工作思路清晰合理。</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三档（</w:t>
            </w:r>
            <w:r>
              <w:rPr>
                <w:rFonts w:ascii="Times New Roman" w:eastAsia="方正仿宋_GBK" w:cs="Times New Roman" w:hAnsi="Times New Roman"/>
                <w:sz w:val="24"/>
                <w:lang w:val="en-US" w:eastAsia="zh-CN"/>
                <w:highlight w:val="auto"/>
              </w:rPr>
              <w:t>10</w:t>
            </w:r>
            <w:r>
              <w:rPr>
                <w:rFonts w:ascii="Times New Roman" w:eastAsia="方正仿宋_GBK" w:cs="Times New Roman" w:hAnsi="Times New Roman"/>
                <w:sz w:val="24"/>
                <w:highlight w:val="auto"/>
              </w:rPr>
              <w:t>分）：售后服务方案优秀，能够结合采购人需求提供详细的售后服务承诺，售后服务流程、质量保障，售后服务承诺优于本项目最低需求。可预见性及可操作性强，针对性强，服务工作思路全面，能实现项目实施全过程与采购人有良好顺畅的沟通和信息交流，保障服务质量优于采购要求，且考虑到项目实际情况。</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lang w:val="en-US" w:eastAsia="zh-CN"/>
                <w:highlight w:val="auto"/>
              </w:rPr>
              <w:t>注：</w:t>
            </w:r>
            <w:r>
              <w:rPr>
                <w:rFonts w:ascii="Times New Roman" w:eastAsia="方正仿宋_GBK" w:cs="Times New Roman" w:hAnsi="Times New Roman"/>
                <w:sz w:val="24"/>
                <w:highlight w:val="auto"/>
              </w:rPr>
              <w:t>未提供或提供的内容不符合采购需求的，不得分；不满足最低档次要求的不得分。</w:t>
            </w:r>
          </w:p>
        </w:tc>
      </w:tr>
      <w:tr>
        <w:trPr>
          <w:trHeight w:val="2742"/>
        </w:trPr>
        <w:tc>
          <w:tcPr>
            <w:tcW w:w="688" w:type="dxa"/>
            <w:vMerge/>
            <w:tcBorders>
              <w:top w:val="single" w:sz="4" w:space="0" w:color="auto"/>
              <w:left w:val="single" w:sz="4" w:space="0" w:color="auto"/>
              <w:bottom w:val="single" w:sz="4" w:space="0" w:color="auto"/>
              <w:right w:val="single" w:sz="4" w:space="0" w:color="auto"/>
            </w:tcBorders>
            <w:noWrap/>
            <w:vAlign w:val="center"/>
          </w:tcPr>
          <w:p/>
        </w:tc>
        <w:tc>
          <w:tcPr>
            <w:tcW w:w="885" w:type="dxa"/>
            <w:vMerge/>
            <w:tcBorders>
              <w:top w:val="single" w:sz="4" w:space="0" w:color="auto"/>
              <w:left w:val="single" w:sz="4" w:space="0" w:color="auto"/>
              <w:bottom w:val="single" w:sz="4" w:space="0" w:color="auto"/>
              <w:right w:val="single" w:sz="4" w:space="0" w:color="auto"/>
            </w:tcBorders>
            <w:noWrap/>
            <w:vAlign w:val="center"/>
          </w:tcP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培训方案</w:t>
            </w:r>
            <w:r>
              <w:rPr>
                <w:rFonts w:ascii="Times New Roman" w:eastAsia="方正仿宋_GBK" w:cs="Times New Roman" w:hAnsi="Times New Roman"/>
                <w:color w:val="auto"/>
                <w:sz w:val="24"/>
                <w:lang w:eastAsia="zh-CN"/>
                <w:highlight w:val="auto"/>
              </w:rPr>
              <w:t>（</w:t>
            </w:r>
            <w:r>
              <w:rPr>
                <w:rFonts w:ascii="Times New Roman" w:eastAsia="方正仿宋_GBK" w:cs="Times New Roman" w:hAnsi="Times New Roman"/>
                <w:color w:val="auto"/>
                <w:sz w:val="24"/>
                <w:lang w:val="en-US" w:eastAsia="zh-CN"/>
                <w:highlight w:val="auto"/>
              </w:rPr>
              <w:t>5分</w:t>
            </w:r>
            <w:r>
              <w:rPr>
                <w:rFonts w:ascii="Times New Roman" w:eastAsia="方正仿宋_GBK" w:cs="Times New Roman" w:hAnsi="Times New Roman"/>
                <w:color w:val="auto"/>
                <w:sz w:val="24"/>
                <w:lang w:eastAsia="zh-CN"/>
                <w:highlight w:val="auto"/>
              </w:rPr>
              <w:t>）</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一档（</w:t>
            </w:r>
            <w:r>
              <w:rPr>
                <w:rFonts w:ascii="Times New Roman" w:eastAsia="方正仿宋_GBK" w:cs="Times New Roman" w:hAnsi="Times New Roman"/>
                <w:sz w:val="24"/>
                <w:lang w:val="en-US" w:eastAsia="zh-CN"/>
                <w:highlight w:val="auto"/>
              </w:rPr>
              <w:t>1</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培训</w:t>
            </w:r>
            <w:r>
              <w:rPr>
                <w:rFonts w:ascii="Times New Roman" w:eastAsia="方正仿宋_GBK" w:cs="Times New Roman" w:hAnsi="Times New Roman"/>
                <w:sz w:val="24"/>
                <w:highlight w:val="auto"/>
              </w:rPr>
              <w:t>方案一般，内容描述简单，要点有偏差或内容部分偏差。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二档（</w:t>
            </w:r>
            <w:r>
              <w:rPr>
                <w:rFonts w:ascii="Times New Roman" w:eastAsia="方正仿宋_GBK" w:cs="Times New Roman" w:hAnsi="Times New Roman"/>
                <w:sz w:val="24"/>
                <w:lang w:val="en-US" w:eastAsia="zh-CN"/>
                <w:highlight w:val="auto"/>
              </w:rPr>
              <w:t>3</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培训</w:t>
            </w:r>
            <w:r>
              <w:rPr>
                <w:rFonts w:ascii="Times New Roman" w:eastAsia="方正仿宋_GBK" w:cs="Times New Roman" w:hAnsi="Times New Roman"/>
                <w:sz w:val="24"/>
                <w:highlight w:val="auto"/>
              </w:rPr>
              <w:t>方案</w:t>
            </w:r>
            <w:r>
              <w:rPr>
                <w:rFonts w:ascii="Times New Roman" w:eastAsia="方正仿宋_GBK" w:cs="Times New Roman" w:hAnsi="Times New Roman"/>
                <w:sz w:val="24"/>
                <w:lang w:val="en-US" w:eastAsia="zh-CN"/>
                <w:highlight w:val="auto"/>
              </w:rPr>
              <w:t>良好，</w:t>
            </w:r>
            <w:r>
              <w:rPr>
                <w:rFonts w:ascii="Times New Roman" w:eastAsia="方正仿宋_GBK" w:cs="Times New Roman" w:hAnsi="Times New Roman"/>
                <w:sz w:val="24"/>
                <w:highlight w:val="auto"/>
              </w:rPr>
              <w:t>要点齐全</w:t>
            </w:r>
            <w:r>
              <w:rPr>
                <w:rFonts w:ascii="Times New Roman" w:eastAsia="方正仿宋_GBK" w:cs="Times New Roman" w:hAnsi="Times New Roman"/>
                <w:sz w:val="24"/>
                <w:lang w:eastAsia="zh-CN"/>
                <w:highlight w:val="auto"/>
              </w:rPr>
              <w:t>，</w:t>
            </w:r>
            <w:r>
              <w:rPr>
                <w:rFonts w:ascii="Times New Roman" w:eastAsia="方正仿宋_GBK" w:cs="Times New Roman" w:hAnsi="Times New Roman"/>
                <w:sz w:val="24"/>
                <w:highlight w:val="auto"/>
              </w:rPr>
              <w:t>内容基本能够适用于本项目。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三档（</w:t>
            </w:r>
            <w:r>
              <w:rPr>
                <w:rFonts w:ascii="Times New Roman" w:eastAsia="方正仿宋_GBK" w:cs="Times New Roman" w:hAnsi="Times New Roman"/>
                <w:sz w:val="24"/>
                <w:lang w:val="en-US" w:eastAsia="zh-CN"/>
                <w:highlight w:val="auto"/>
              </w:rPr>
              <w:t>5</w:t>
            </w:r>
            <w:r>
              <w:rPr>
                <w:rFonts w:ascii="Times New Roman" w:eastAsia="方正仿宋_GBK" w:cs="Times New Roman" w:hAnsi="Times New Roman"/>
                <w:sz w:val="24"/>
                <w:highlight w:val="auto"/>
              </w:rPr>
              <w:t>分）：</w:t>
            </w:r>
            <w:r>
              <w:rPr>
                <w:rFonts w:ascii="Times New Roman" w:eastAsia="方正仿宋_GBK" w:cs="Times New Roman" w:hAnsi="Times New Roman"/>
                <w:sz w:val="24"/>
                <w:lang w:val="en-US" w:eastAsia="zh-CN"/>
                <w:highlight w:val="auto"/>
              </w:rPr>
              <w:t>培训</w:t>
            </w:r>
            <w:r>
              <w:rPr>
                <w:rFonts w:ascii="Times New Roman" w:eastAsia="方正仿宋_GBK" w:cs="Times New Roman" w:hAnsi="Times New Roman"/>
                <w:sz w:val="24"/>
                <w:highlight w:val="auto"/>
              </w:rPr>
              <w:t>方案优秀，要点齐全、内容与要点相符，有展开详细的阐述且能够适用于本项目。</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lang w:val="en-US" w:eastAsia="zh-CN"/>
                <w:highlight w:val="auto"/>
              </w:rPr>
              <w:t>注：</w:t>
            </w:r>
            <w:r>
              <w:rPr>
                <w:rFonts w:ascii="Times New Roman" w:eastAsia="方正仿宋_GBK" w:cs="Times New Roman" w:hAnsi="Times New Roman"/>
                <w:sz w:val="24"/>
                <w:highlight w:val="auto"/>
              </w:rPr>
              <w:t>未提供或提供的内容不符合采购需求的，不得分；不满足最低档次要求的不得分。</w:t>
            </w:r>
          </w:p>
        </w:tc>
      </w:tr>
      <w:tr>
        <w:trPr>
          <w:trHeight w:val="322"/>
        </w:trPr>
        <w:tc>
          <w:tcPr>
            <w:tcW w:w="824" w:type="dxa"/>
            <w:vMerge w:val="restart"/>
            <w:tcBorders>
              <w:top w:val="single" w:sz="4" w:space="0" w:color="auto"/>
              <w:left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3</w:t>
            </w:r>
          </w:p>
        </w:tc>
        <w:tc>
          <w:tcPr>
            <w:tcW w:w="840" w:type="dxa"/>
            <w:vMerge w:val="restart"/>
            <w:tcBorders>
              <w:top w:val="single" w:sz="4" w:space="0" w:color="auto"/>
              <w:left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szCs w:val="24"/>
                <w:highlight w:val="yellow"/>
              </w:rPr>
            </w:pPr>
            <w:r>
              <w:rPr>
                <w:rFonts w:ascii="Times New Roman" w:eastAsia="方正仿宋_GBK" w:cs="Times New Roman" w:hAnsi="Times New Roman"/>
                <w:b/>
                <w:bCs/>
                <w:color w:val="auto"/>
                <w:sz w:val="24"/>
                <w:szCs w:val="24"/>
                <w:highlight w:val="auto"/>
              </w:rPr>
              <w:t>商务分（</w:t>
            </w:r>
            <w:r>
              <w:rPr>
                <w:rFonts w:ascii="Times New Roman" w:eastAsia="方正仿宋_GBK" w:cs="Times New Roman" w:hAnsi="Times New Roman"/>
                <w:b/>
                <w:bCs/>
                <w:color w:val="auto"/>
                <w:sz w:val="24"/>
                <w:szCs w:val="24"/>
                <w:lang w:val="en-US" w:eastAsia="zh-CN"/>
                <w:highlight w:val="auto"/>
              </w:rPr>
              <w:t>15</w:t>
            </w:r>
            <w:r>
              <w:rPr>
                <w:rFonts w:ascii="Times New Roman" w:eastAsia="方正仿宋_GBK" w:cs="Times New Roman" w:hAnsi="Times New Roman"/>
                <w:b/>
                <w:bCs/>
                <w:color w:val="auto"/>
                <w:sz w:val="24"/>
                <w:szCs w:val="24"/>
                <w:highlight w:val="auto"/>
              </w:rPr>
              <w:t>分）</w:t>
            </w: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项目</w:t>
            </w:r>
            <w:r>
              <w:rPr>
                <w:rFonts w:ascii="Times New Roman" w:eastAsia="方正仿宋_GBK" w:cs="Times New Roman" w:hAnsi="Times New Roman"/>
                <w:color w:val="auto"/>
                <w:sz w:val="24"/>
                <w:lang w:val="en-US" w:eastAsia="zh-CN"/>
                <w:highlight w:val="auto"/>
              </w:rPr>
              <w:t>服务</w:t>
            </w:r>
            <w:r>
              <w:rPr>
                <w:rFonts w:ascii="Times New Roman" w:eastAsia="方正仿宋_GBK" w:cs="Times New Roman" w:hAnsi="Times New Roman"/>
                <w:color w:val="auto"/>
                <w:sz w:val="24"/>
                <w:highlight w:val="auto"/>
              </w:rPr>
              <w:t>团队</w:t>
            </w:r>
          </w:p>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w:t>
            </w:r>
            <w:r>
              <w:rPr>
                <w:rFonts w:ascii="Times New Roman" w:eastAsia="方正仿宋_GBK" w:cs="Times New Roman" w:hAnsi="Times New Roman"/>
                <w:color w:val="auto"/>
                <w:sz w:val="24"/>
                <w:lang w:val="en-US" w:eastAsia="zh-CN"/>
                <w:highlight w:val="auto"/>
              </w:rPr>
              <w:t>3</w:t>
            </w:r>
            <w:r>
              <w:rPr>
                <w:rFonts w:ascii="Times New Roman" w:eastAsia="方正仿宋_GBK" w:cs="Times New Roman" w:hAnsi="Times New Roman"/>
                <w:color w:val="auto"/>
                <w:sz w:val="24"/>
                <w:highlight w:val="auto"/>
              </w:rPr>
              <w:t>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在</w:t>
            </w:r>
            <w:r>
              <w:rPr>
                <w:rFonts w:ascii="Times New Roman" w:eastAsia="方正仿宋_GBK" w:cs="Times New Roman" w:hAnsi="Times New Roman"/>
                <w:sz w:val="24"/>
                <w:lang w:val="en-US" w:eastAsia="zh-CN"/>
                <w:highlight w:val="auto"/>
              </w:rPr>
              <w:t>项目</w:t>
            </w:r>
            <w:r>
              <w:rPr>
                <w:rFonts w:ascii="Times New Roman" w:eastAsia="方正仿宋_GBK" w:cs="Times New Roman" w:hAnsi="Times New Roman"/>
                <w:sz w:val="24"/>
                <w:highlight w:val="auto"/>
              </w:rPr>
              <w:t>开发期间投入本项目人员不少于</w:t>
            </w:r>
            <w:r>
              <w:rPr>
                <w:rFonts w:ascii="Times New Roman" w:eastAsia="方正仿宋_GBK" w:cs="Times New Roman" w:hAnsi="Times New Roman"/>
                <w:sz w:val="24"/>
                <w:lang w:val="en-US" w:eastAsia="zh-CN"/>
                <w:highlight w:val="auto"/>
              </w:rPr>
              <w:t>2</w:t>
            </w:r>
            <w:r>
              <w:rPr>
                <w:rFonts w:ascii="Times New Roman" w:eastAsia="方正仿宋_GBK" w:cs="Times New Roman" w:hAnsi="Times New Roman"/>
                <w:sz w:val="24"/>
                <w:highlight w:val="auto"/>
              </w:rPr>
              <w:t>人，得1分，每增加1人，多加1分，本项最多得3分。拟派项目成员须为供应商正式员工，提供项目成员身份证复印件及供应商缴纳社保证明材料的复印件（代缴社保相关证明材料不予认可），没有提供相关证明材料或无效的得0分，相关复印件加盖</w:t>
            </w:r>
            <w:r>
              <w:rPr>
                <w:rFonts w:ascii="Times New Roman" w:eastAsia="方正仿宋_GBK" w:cs="Times New Roman" w:hAnsi="Times New Roman"/>
                <w:sz w:val="24"/>
                <w:lang w:val="en-US" w:eastAsia="zh-CN"/>
                <w:highlight w:val="auto"/>
              </w:rPr>
              <w:t>供应商</w:t>
            </w:r>
            <w:r>
              <w:rPr>
                <w:rFonts w:ascii="Times New Roman" w:eastAsia="方正仿宋_GBK" w:cs="Times New Roman" w:hAnsi="Times New Roman"/>
                <w:sz w:val="24"/>
                <w:highlight w:val="auto"/>
              </w:rPr>
              <w:t>公章。</w:t>
            </w:r>
          </w:p>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备注：以上拟投入主要人员必须提供证书复印件（学历、职称或培训证书等，否则不作为评分依据）。</w:t>
            </w:r>
          </w:p>
        </w:tc>
      </w:tr>
      <w:tr>
        <w:trPr>
          <w:trHeight w:val="322"/>
        </w:trPr>
        <w:tc>
          <w:tcPr>
            <w:tcW w:w="688" w:type="dxa"/>
            <w:vMerge/>
            <w:tcBorders>
              <w:top w:val="single" w:sz="4" w:space="0" w:color="auto"/>
              <w:left w:val="single" w:sz="4" w:space="0" w:color="auto"/>
              <w:bottom w:val="single" w:sz="4" w:space="0" w:color="auto"/>
              <w:right w:val="single" w:sz="4" w:space="0" w:color="auto"/>
            </w:tcBorders>
            <w:noWrap/>
            <w:vAlign w:val="center"/>
          </w:tcPr>
          <w:p/>
        </w:tc>
        <w:tc>
          <w:tcPr>
            <w:tcW w:w="885" w:type="dxa"/>
            <w:vMerge/>
            <w:tcBorders>
              <w:top w:val="single" w:sz="4" w:space="0" w:color="auto"/>
              <w:left w:val="single" w:sz="4" w:space="0" w:color="auto"/>
              <w:bottom w:val="single" w:sz="4" w:space="0" w:color="auto"/>
              <w:right w:val="single" w:sz="4" w:space="0" w:color="auto"/>
            </w:tcBorders>
            <w:noWrap/>
            <w:vAlign w:val="center"/>
          </w:tcP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lang w:val="en-US" w:eastAsia="zh-CN"/>
                <w:highlight w:val="auto"/>
              </w:rPr>
            </w:pPr>
            <w:r>
              <w:rPr>
                <w:rFonts w:ascii="Times New Roman" w:eastAsia="方正仿宋_GBK" w:cs="Times New Roman" w:hAnsi="Times New Roman"/>
                <w:color w:val="auto"/>
                <w:sz w:val="24"/>
                <w:lang w:val="en-US" w:eastAsia="zh-CN"/>
                <w:highlight w:val="auto"/>
              </w:rPr>
              <w:t>应急保障（2分）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供应商承诺：针对本项目配备至少1名专业的技术人员，提供7×24小时电话服务，在质保期限内发生应急保障需求，接采购人电话后 2</w:t>
            </w:r>
            <w:r>
              <w:rPr>
                <w:rFonts w:ascii="Times New Roman" w:eastAsia="方正仿宋_GBK" w:cs="Times New Roman" w:hAnsi="Times New Roman"/>
                <w:sz w:val="24"/>
                <w:lang w:val="en-US" w:eastAsia="zh-CN"/>
                <w:highlight w:val="auto"/>
              </w:rPr>
              <w:t>4</w:t>
            </w:r>
            <w:r>
              <w:rPr>
                <w:rFonts w:ascii="Times New Roman" w:eastAsia="方正仿宋_GBK" w:cs="Times New Roman" w:hAnsi="Times New Roman"/>
                <w:sz w:val="24"/>
                <w:highlight w:val="auto"/>
              </w:rPr>
              <w:t>小时之内到达现场，满足应急保障响应时间要求的得2分。【须提供承诺函（格式自拟）并加盖供应商公章，未提供或未按要求提供不得分】。</w:t>
            </w:r>
          </w:p>
        </w:tc>
      </w:tr>
      <w:tr>
        <w:trPr>
          <w:trHeight w:val="322"/>
        </w:trPr>
        <w:tc>
          <w:tcPr>
            <w:tcW w:w="688" w:type="dxa"/>
            <w:vMerge/>
            <w:tcBorders>
              <w:top w:val="single" w:sz="4" w:space="0" w:color="auto"/>
              <w:left w:val="single" w:sz="4" w:space="0" w:color="auto"/>
              <w:bottom w:val="single" w:sz="4" w:space="0" w:color="auto"/>
              <w:right w:val="single" w:sz="4" w:space="0" w:color="auto"/>
            </w:tcBorders>
            <w:noWrap/>
            <w:vAlign w:val="center"/>
          </w:tcPr>
          <w:p/>
        </w:tc>
        <w:tc>
          <w:tcPr>
            <w:tcW w:w="885" w:type="dxa"/>
            <w:vMerge/>
            <w:tcBorders>
              <w:top w:val="single" w:sz="4" w:space="0" w:color="auto"/>
              <w:left w:val="single" w:sz="4" w:space="0" w:color="auto"/>
              <w:bottom w:val="single" w:sz="4" w:space="0" w:color="auto"/>
              <w:right w:val="single" w:sz="4" w:space="0" w:color="auto"/>
            </w:tcBorders>
            <w:noWrap/>
            <w:vAlign w:val="center"/>
          </w:tcPr>
          <w:p/>
        </w:tc>
        <w:tc>
          <w:tcPr>
            <w:tcW w:w="1155"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技术积累</w:t>
            </w:r>
          </w:p>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highlight w:val="auto"/>
              </w:rPr>
            </w:pPr>
            <w:r>
              <w:rPr>
                <w:rFonts w:ascii="Times New Roman" w:eastAsia="方正仿宋_GBK" w:cs="Times New Roman" w:hAnsi="Times New Roman"/>
                <w:color w:val="auto"/>
                <w:sz w:val="24"/>
                <w:highlight w:val="auto"/>
              </w:rPr>
              <w:t>（6分）</w:t>
            </w:r>
          </w:p>
        </w:tc>
        <w:tc>
          <w:tcPr>
            <w:tcW w:w="6300" w:type="dxa"/>
            <w:tcBorders>
              <w:top w:val="single" w:sz="4" w:space="0" w:color="auto"/>
              <w:left w:val="single" w:sz="4" w:space="0" w:color="auto"/>
              <w:bottom w:val="single" w:sz="4" w:space="0" w:color="auto"/>
              <w:right w:val="single" w:sz="4" w:space="0" w:color="auto"/>
            </w:tcBorders>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highlight w:val="auto"/>
              </w:rPr>
            </w:pPr>
            <w:r>
              <w:rPr>
                <w:rFonts w:ascii="Times New Roman" w:eastAsia="方正仿宋_GBK" w:cs="Times New Roman" w:hAnsi="Times New Roman"/>
                <w:sz w:val="24"/>
                <w:highlight w:val="auto"/>
              </w:rPr>
              <w:t>供应商具有人机互动</w:t>
            </w:r>
            <w:r>
              <w:rPr>
                <w:rFonts w:ascii="Times New Roman" w:eastAsia="方正仿宋_GBK" w:cs="Times New Roman" w:hAnsi="Times New Roman"/>
                <w:sz w:val="24"/>
                <w:lang w:eastAsia="zh-CN"/>
                <w:highlight w:val="auto"/>
              </w:rPr>
              <w:t>、</w:t>
            </w:r>
            <w:r>
              <w:rPr>
                <w:rFonts w:ascii="Times New Roman" w:eastAsia="方正仿宋_GBK" w:cs="Times New Roman" w:hAnsi="Times New Roman"/>
                <w:sz w:val="24"/>
                <w:lang w:val="en-US" w:eastAsia="zh-CN"/>
                <w:highlight w:val="auto"/>
              </w:rPr>
              <w:t>设备互动</w:t>
            </w:r>
            <w:r>
              <w:rPr>
                <w:rFonts w:ascii="Times New Roman" w:eastAsia="方正仿宋_GBK" w:cs="Times New Roman" w:hAnsi="Times New Roman"/>
                <w:sz w:val="24"/>
                <w:highlight w:val="auto"/>
              </w:rPr>
              <w:t>相关的软件著作权，并提供证明文件复印件的，每提供1项计算机软件著作权登记证书得3分，满分6分。</w:t>
            </w:r>
          </w:p>
        </w:tc>
      </w:tr>
      <w:tr>
        <w:trPr>
          <w:trHeight w:val="322"/>
        </w:trPr>
        <w:tc>
          <w:tcPr>
            <w:tcW w:w="688" w:type="dxa"/>
            <w:vMerge/>
            <w:tcBorders>
              <w:top w:val="single" w:sz="4" w:space="0" w:color="auto"/>
              <w:left w:val="single" w:sz="4" w:space="0" w:color="auto"/>
              <w:bottom w:val="single" w:sz="4" w:space="0" w:color="auto"/>
              <w:right w:val="single" w:sz="4" w:space="0" w:color="auto"/>
            </w:tcBorders>
            <w:noWrap/>
            <w:vAlign w:val="center"/>
          </w:tcPr>
          <w:p/>
        </w:tc>
        <w:tc>
          <w:tcPr>
            <w:tcW w:w="885" w:type="dxa"/>
            <w:vMerge/>
            <w:tcBorders>
              <w:top w:val="single" w:sz="4" w:space="0" w:color="auto"/>
              <w:left w:val="single" w:sz="4" w:space="0" w:color="auto"/>
              <w:bottom w:val="single" w:sz="4" w:space="0" w:color="auto"/>
              <w:right w:val="single" w:sz="4" w:space="0" w:color="auto"/>
            </w:tcBorders>
            <w:noWrap/>
            <w:vAlign w:val="center"/>
          </w:tcPr>
          <w:p/>
        </w:tc>
        <w:tc>
          <w:tcPr>
            <w:tcW w:w="115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lang w:val="en-US" w:eastAsia="zh-CN"/>
                <w:highlight w:val="auto"/>
              </w:rPr>
            </w:pPr>
            <w:r>
              <w:rPr>
                <w:rFonts w:ascii="Times New Roman" w:eastAsia="方正仿宋_GBK" w:cs="Times New Roman" w:hAnsi="Times New Roman"/>
                <w:color w:val="auto"/>
                <w:sz w:val="24"/>
                <w:lang w:val="en-US" w:eastAsia="zh-CN"/>
                <w:highlight w:val="auto"/>
              </w:rPr>
              <w:t>业绩</w:t>
            </w:r>
          </w:p>
          <w:p>
            <w:pPr>
              <w:pStyle w:val="4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eastAsia="方正仿宋_GBK" w:cs="Times New Roman" w:hAnsi="Times New Roman"/>
                <w:color w:val="auto"/>
                <w:sz w:val="24"/>
                <w:lang w:val="en-US" w:eastAsia="zh-CN"/>
                <w:highlight w:val="auto"/>
              </w:rPr>
            </w:pPr>
            <w:r>
              <w:rPr>
                <w:rFonts w:ascii="Times New Roman" w:eastAsia="方正仿宋_GBK" w:cs="Times New Roman" w:hAnsi="Times New Roman"/>
                <w:color w:val="auto"/>
                <w:sz w:val="24"/>
                <w:lang w:val="en-US" w:eastAsia="zh-CN"/>
                <w:highlight w:val="auto"/>
              </w:rPr>
              <w:t>（4分）</w:t>
            </w:r>
          </w:p>
        </w:tc>
        <w:tc>
          <w:tcPr>
            <w:tcW w:w="63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41"/>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sz w:val="24"/>
                <w:lang w:val="en-US" w:eastAsia="ar-SA"/>
                <w:highlight w:val="auto"/>
              </w:rPr>
            </w:pPr>
            <w:r>
              <w:rPr>
                <w:rFonts w:ascii="Times New Roman" w:eastAsia="方正仿宋_GBK" w:cs="Times New Roman" w:hAnsi="Times New Roman"/>
                <w:sz w:val="24"/>
                <w:highlight w:val="auto"/>
              </w:rPr>
              <w:t>2024年1月1日以来至响应文件递交截止日期止，供应商具有</w:t>
            </w:r>
            <w:r>
              <w:rPr>
                <w:rFonts w:ascii="Times New Roman" w:eastAsia="方正仿宋_GBK" w:cs="Times New Roman" w:hAnsi="Times New Roman"/>
                <w:sz w:val="24"/>
                <w:lang w:val="en-US" w:eastAsia="zh-CN"/>
              </w:rPr>
              <w:t>生物科普类、知识答题类</w:t>
            </w:r>
            <w:r>
              <w:rPr>
                <w:rFonts w:ascii="Times New Roman" w:eastAsia="方正仿宋_GBK" w:cs="Times New Roman" w:hAnsi="Times New Roman"/>
                <w:sz w:val="24"/>
                <w:lang w:val="en-US" w:eastAsia="zh-CN"/>
                <w:highlight w:val="auto"/>
              </w:rPr>
              <w:t>等相关互动展示模块相关</w:t>
            </w:r>
            <w:r>
              <w:rPr>
                <w:rFonts w:ascii="Times New Roman" w:eastAsia="方正仿宋_GBK" w:cs="Times New Roman" w:hAnsi="Times New Roman"/>
                <w:sz w:val="24"/>
                <w:highlight w:val="auto"/>
              </w:rPr>
              <w:t>业绩，</w:t>
            </w:r>
            <w:r>
              <w:rPr>
                <w:rFonts w:ascii="Times New Roman" w:eastAsia="方正仿宋_GBK" w:cs="Times New Roman" w:hAnsi="Times New Roman"/>
                <w:sz w:val="24"/>
                <w:lang w:val="en-US" w:eastAsia="zh-CN"/>
                <w:highlight w:val="auto"/>
              </w:rPr>
              <w:t>每提供1项得2分，</w:t>
            </w:r>
            <w:r>
              <w:rPr>
                <w:rFonts w:ascii="Times New Roman" w:eastAsia="方正仿宋_GBK" w:cs="Times New Roman" w:hAnsi="Times New Roman"/>
                <w:sz w:val="24"/>
                <w:highlight w:val="auto"/>
              </w:rPr>
              <w:t>满分</w:t>
            </w:r>
            <w:r>
              <w:rPr>
                <w:rFonts w:ascii="Times New Roman" w:eastAsia="方正仿宋_GBK" w:cs="Times New Roman" w:hAnsi="Times New Roman"/>
                <w:sz w:val="24"/>
                <w:lang w:val="en-US" w:eastAsia="zh-CN"/>
                <w:highlight w:val="auto"/>
              </w:rPr>
              <w:t>4</w:t>
            </w:r>
            <w:r>
              <w:rPr>
                <w:rFonts w:ascii="Times New Roman" w:eastAsia="方正仿宋_GBK" w:cs="Times New Roman" w:hAnsi="Times New Roman"/>
                <w:sz w:val="24"/>
                <w:highlight w:val="auto"/>
              </w:rPr>
              <w:t>分。响应文件中提供合同复印件（合同要求体现签订双方名称、采购内容、签订日期、签订双方盖章）。</w:t>
            </w:r>
          </w:p>
        </w:tc>
      </w:tr>
      <w:tr>
        <w:tc>
          <w:tcPr>
            <w:tcW w:w="9119" w:type="dxa"/>
            <w:gridSpan w:val="4"/>
            <w:tcBorders>
              <w:top w:val="single" w:sz="4" w:space="0" w:color="auto"/>
              <w:left w:val="single" w:sz="4" w:space="0" w:color="auto"/>
              <w:bottom w:val="single" w:sz="4" w:space="0" w:color="auto"/>
              <w:right w:val="single" w:sz="4" w:space="0" w:color="auto"/>
            </w:tcBorders>
            <w:noWrap/>
            <w:vAlign w:val="center"/>
          </w:tcPr>
          <w:p>
            <w:pPr>
              <w:pStyle w:val="40"/>
              <w:keepNext w:val="0"/>
              <w:keepLines w:val="0"/>
              <w:pageBreakBefore w:val="0"/>
              <w:widowControl w:val="0"/>
              <w:kinsoku/>
              <w:wordWrap/>
              <w:overflowPunct/>
              <w:topLinePunct w:val="0"/>
              <w:autoSpaceDE/>
              <w:autoSpaceDN/>
              <w:bidi w:val="0"/>
              <w:adjustRightInd/>
              <w:snapToGrid/>
              <w:spacing w:line="400" w:lineRule="exact"/>
              <w:ind w:firstLineChars="200" w:firstLine="480"/>
              <w:textAlignment w:val="auto"/>
              <w:rPr>
                <w:rFonts w:cs="宋体"/>
                <w:bCs/>
                <w:color w:val="auto"/>
                <w:sz w:val="24"/>
                <w:szCs w:val="24"/>
                <w:highlight w:val="auto"/>
              </w:rPr>
            </w:pPr>
            <w:r>
              <w:rPr>
                <w:rFonts w:cs="宋体" w:hint="eastAsia"/>
                <w:b/>
                <w:bCs/>
                <w:color w:val="auto"/>
                <w:sz w:val="24"/>
                <w:szCs w:val="24"/>
                <w:highlight w:val="auto"/>
              </w:rPr>
              <w:t>总得分=1+2+3。</w:t>
            </w:r>
          </w:p>
        </w:tc>
      </w:tr>
    </w:tbl>
    <w:p>
      <w:pPr>
        <w:snapToGrid w:val="0"/>
        <w:spacing w:line="480" w:lineRule="exact"/>
        <w:ind w:firstLineChars="196" w:firstLine="549"/>
        <w:jc w:val="left"/>
        <w:rPr>
          <w:rFonts w:eastAsia="仿宋_GB2312"/>
          <w:b/>
          <w:sz w:val="28"/>
          <w:szCs w:val="28"/>
        </w:rPr>
      </w:pPr>
      <w:r>
        <w:rPr>
          <w:rFonts w:eastAsia="仿宋_GB2312"/>
          <w:b/>
          <w:sz w:val="28"/>
          <w:szCs w:val="28"/>
        </w:rPr>
        <w:t>（三）成交候选人确定/推荐原则</w:t>
      </w:r>
    </w:p>
    <w:p>
      <w:pPr>
        <w:snapToGrid w:val="0"/>
        <w:spacing w:line="480" w:lineRule="exact"/>
        <w:ind w:firstLineChars="200" w:firstLine="560"/>
        <w:jc w:val="left"/>
        <w:rPr>
          <w:rFonts w:eastAsia="方正仿宋_GBK"/>
          <w:color w:val="000000"/>
          <w:sz w:val="28"/>
          <w:szCs w:val="28"/>
        </w:rPr>
      </w:pPr>
      <w:r>
        <w:rPr>
          <w:rFonts w:eastAsia="方正仿宋_GBK"/>
          <w:color w:val="000000"/>
          <w:sz w:val="28"/>
          <w:szCs w:val="28"/>
        </w:rPr>
        <w:t>评审小组将按总得分由高到低排列成交候选供应商顺序（总得分相同时，依次按投标报价低优先、技术分高优先、质量保证期长优先、提交服务成果时间短优先、处理问题到达时间短优先的顺序排列），并依照次序确定/推荐成交候选人。</w:t>
      </w:r>
    </w:p>
    <w:p>
      <w:pPr>
        <w:spacing w:line="480" w:lineRule="exact"/>
        <w:ind w:firstLine="630"/>
        <w:rPr>
          <w:rFonts w:eastAsia="方正仿宋_GBK"/>
          <w:sz w:val="28"/>
          <w:szCs w:val="28"/>
        </w:rPr>
      </w:pPr>
      <w:r>
        <w:rPr>
          <w:rFonts w:eastAsia="方正黑体_GBK"/>
          <w:color w:val="000000"/>
          <w:sz w:val="28"/>
          <w:szCs w:val="28"/>
        </w:rPr>
        <w:t>六、评审地点</w:t>
      </w:r>
      <w:r>
        <w:rPr>
          <w:rFonts w:eastAsia="方正仿宋_GBK"/>
          <w:color w:val="000000"/>
          <w:sz w:val="28"/>
          <w:szCs w:val="28"/>
        </w:rPr>
        <w:t>：南宁海关滨湖办公区0702评</w:t>
      </w:r>
      <w:r>
        <w:rPr>
          <w:rFonts w:eastAsia="方正仿宋_GBK"/>
          <w:sz w:val="28"/>
          <w:szCs w:val="28"/>
        </w:rPr>
        <w:t>审室。</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方正仿宋_GBK"/>
    <w:panose1 w:val="02010609030101010101"/>
    <w:charset w:val="86"/>
    <w:family w:val="modern"/>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华文细黑"/>
    <w:panose1 w:val="02010600040101010101"/>
    <w:charset w:val="86"/>
    <w:family w:val="auto"/>
    <w:pitch w:val="variable"/>
    <w:sig w:usb0="00000287" w:usb1="080F0000" w:usb2="00000000" w:usb3="00000000" w:csb0="0004009F" w:csb1="DFD70000"/>
  </w:font>
  <w:font w:name="Courier New">
    <w:altName w:val="DejaVu Sans"/>
    <w:panose1 w:val="02070309020205020404"/>
    <w:charset w:val="00"/>
    <w:family w:val="modern"/>
    <w:pitch w:val="variable"/>
    <w:sig w:usb0="E0002AFF" w:usb1="C0007843" w:usb2="00000009" w:usb3="00000000" w:csb0="000001FF" w:csb1="00000000"/>
  </w:font>
  <w:font w:name="微软雅黑">
    <w:altName w:val="华文细黑"/>
    <w:panose1 w:val="020B0503020204020204"/>
    <w:charset w:val="86"/>
    <w:family w:val="swiss"/>
    <w:pitch w:val="variable"/>
    <w:sig w:usb0="80000287" w:usb1="280F3C52" w:usb2="00000016" w:usb3="00000000" w:csb0="0004001F" w:csb1="00000000"/>
  </w:font>
  <w:font w:name="Calibri">
    <w:altName w:val="Times New Roman"/>
    <w:panose1 w:val="020F0502020204030204"/>
    <w:charset w:val="00"/>
    <w:family w:val="swiss"/>
    <w:pitch w:val="variable"/>
    <w:sig w:usb0="E10002FF" w:usb1="4000ACFF" w:usb2="00000009" w:usb3="00000000" w:csb0="0000019F" w:csb1="00000000"/>
  </w:font>
  <w:font w:name="Arial">
    <w:altName w:val="DejaVu Sans"/>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3"/>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纯文本1"/>
    <w:basedOn w:val="0"/>
    <w:next w:val="0"/>
    <w:pPr>
      <w:widowControl w:val="0"/>
      <w:suppressAutoHyphens/>
    </w:pPr>
    <w:rPr>
      <w:rFonts w:ascii="宋体" w:cs="Calibri"/>
      <w:sz w:val="20"/>
      <w:szCs w:val="21"/>
      <w:lang w:eastAsia="ar-SA"/>
    </w:rPr>
  </w:style>
  <w:style w:type="paragraph" w:customStyle="1" w:styleId="22">
    <w:name w:val="样式 21 10 磅"/>
    <w:next w:val="20"/>
    <w:pPr>
      <w:widowControl w:val="0"/>
      <w:jc w:val="both"/>
    </w:pPr>
    <w:rPr>
      <w:rFonts w:ascii="Times New Roman" w:eastAsia="宋体" w:cs="Times New Roman" w:hAnsi="Times New Roman"/>
      <w:kern w:val="2"/>
      <w:sz w:val="21"/>
      <w:szCs w:val="24"/>
      <w:lang w:val="en-US" w:eastAsia="zh-CN" w:bidi="ar-SA"/>
    </w:rPr>
  </w:style>
  <w:style w:type="paragraph" w:styleId="23">
    <w:name w:val="annotation text"/>
    <w:basedOn w:val="0"/>
    <w:pPr>
      <w:jc w:val="left"/>
    </w:pPr>
  </w:style>
  <w:style w:type="paragraph" w:styleId="24">
    <w:name w:val="annotation subject"/>
    <w:basedOn w:val="23"/>
    <w:next w:val="23"/>
    <w:rPr>
      <w:b/>
      <w:bCs/>
    </w:rPr>
  </w:style>
  <w:style w:type="paragraph" w:customStyle="1" w:styleId="25">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6">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12 10 磅"/>
    <w:pPr>
      <w:widowControl w:val="0"/>
      <w:jc w:val="both"/>
    </w:pPr>
    <w:rPr>
      <w:rFonts w:ascii="Times New Roman" w:eastAsia="宋体" w:cs="Times New Roman" w:hAnsi="Times New Roman"/>
      <w:kern w:val="2"/>
      <w:sz w:val="21"/>
      <w:szCs w:val="24"/>
      <w:lang w:val="en-US" w:eastAsia="zh-CN" w:bidi="ar-SA"/>
    </w:rPr>
  </w:style>
  <w:style w:type="character" w:styleId="38">
    <w:name w:val="HTML Keyboard"/>
    <w:basedOn w:val="10"/>
    <w:rPr>
      <w:rFonts w:ascii="Courier New" w:hAnsi="Courier New"/>
      <w:sz w:val="20"/>
      <w:szCs w:val="20"/>
    </w:rPr>
  </w:style>
  <w:style w:type="paragraph" w:customStyle="1" w:styleId="39">
    <w:name w:val="样式 17 10 磅"/>
    <w:pPr>
      <w:widowControl w:val="0"/>
      <w:jc w:val="both"/>
    </w:pPr>
    <w:rPr>
      <w:rFonts w:ascii="Calibri" w:eastAsia="宋体" w:cs="Arial" w:hAnsi="Calibri"/>
      <w:kern w:val="2"/>
      <w:sz w:val="21"/>
      <w:szCs w:val="22"/>
      <w:lang w:val="en-US" w:eastAsia="zh-CN" w:bidi="ar-SA"/>
    </w:rPr>
  </w:style>
  <w:style w:type="paragraph" w:customStyle="1" w:styleId="40">
    <w:name w:val="样式 13 10 磅"/>
    <w:basedOn w:val="0"/>
    <w:pPr>
      <w:widowControl w:val="0"/>
      <w:jc w:val="both"/>
    </w:pPr>
    <w:rPr>
      <w:rFonts w:ascii="宋体" w:eastAsia="宋体" w:cs="Arial" w:hAnsi="Calibri"/>
      <w:kern w:val="2"/>
      <w:sz w:val="21"/>
      <w:szCs w:val="20"/>
      <w:lang w:val="en-US" w:eastAsia="zh-CN" w:bidi="ar-SA"/>
    </w:rPr>
  </w:style>
  <w:style w:type="paragraph" w:customStyle="1" w:styleId="41">
    <w:name w:val="样式 14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76B1D2E0-DCF4-4E83-AE03-8F2BA23A4873}">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425</TotalTime>
  <Application>Yozo_Office27021597764231179</Application>
  <Pages>5</Pages>
  <Words>0</Words>
  <Characters>2695</Characters>
  <Lines>0</Lines>
  <Paragraphs>41</Paragraphs>
  <CharactersWithSpaces>3594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YW</cp:lastModifiedBy>
  <cp:revision>21</cp:revision>
  <cp:lastPrinted>2022-04-12T09:32:00Z</cp:lastPrinted>
  <dcterms:created xsi:type="dcterms:W3CDTF">2022-08-23T09:15:00Z</dcterms:created>
  <dcterms:modified xsi:type="dcterms:W3CDTF">2025-11-26T09:32:31Z</dcterms:modified>
</cp:coreProperties>
</file>