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4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评</w:t>
      </w:r>
      <w:r>
        <w:rPr>
          <w:rFonts w:eastAsia="方正小标宋_GBK" w:hint="eastAsia"/>
          <w:bCs/>
          <w:sz w:val="44"/>
          <w:szCs w:val="44"/>
        </w:rPr>
        <w:t>审</w:t>
      </w:r>
      <w:r>
        <w:rPr>
          <w:rFonts w:eastAsia="方正小标宋_GBK"/>
          <w:bCs/>
          <w:sz w:val="44"/>
          <w:szCs w:val="44"/>
        </w:rPr>
        <w:t>办法</w:t>
      </w:r>
    </w:p>
    <w:p>
      <w:pPr>
        <w:spacing w:line="540" w:lineRule="exact"/>
        <w:jc w:val="center"/>
        <w:rPr>
          <w:rFonts w:ascii="方正小标宋_GBK" w:eastAsia="方正小标宋_GBK"/>
          <w:bCs/>
          <w:sz w:val="32"/>
          <w:szCs w:val="32"/>
        </w:rPr>
      </w:pPr>
      <w:r>
        <w:rPr>
          <w:rFonts w:ascii="方正小标宋_GBK" w:eastAsia="方正小标宋_GBK" w:hint="eastAsia"/>
          <w:bCs/>
          <w:sz w:val="32"/>
          <w:szCs w:val="32"/>
        </w:rPr>
        <w:t>（综合评分法）</w:t>
      </w:r>
    </w:p>
    <w:p>
      <w:pPr>
        <w:spacing w:line="400" w:lineRule="exact"/>
        <w:ind w:firstLineChars="200" w:firstLine="560"/>
        <w:rPr>
          <w:rFonts w:eastAsia="方正黑体_GBK"/>
          <w:sz w:val="28"/>
          <w:szCs w:val="28"/>
        </w:rPr>
      </w:pPr>
      <w:r>
        <w:rPr>
          <w:rFonts w:eastAsia="方正黑体_GBK"/>
          <w:sz w:val="28"/>
          <w:szCs w:val="28"/>
        </w:rPr>
        <w:t>一、形式评审</w:t>
      </w:r>
    </w:p>
    <w:p>
      <w:pPr>
        <w:spacing w:line="400" w:lineRule="exact"/>
        <w:ind w:firstLineChars="200" w:firstLine="560"/>
        <w:rPr>
          <w:rFonts w:ascii="方正楷体_GBK" w:eastAsia="方正楷体_GBK"/>
          <w:b/>
          <w:sz w:val="28"/>
          <w:szCs w:val="28"/>
        </w:rPr>
      </w:pPr>
      <w:r>
        <w:rPr>
          <w:rFonts w:ascii="方正楷体_GBK" w:eastAsia="方正楷体_GBK"/>
          <w:b/>
          <w:sz w:val="28"/>
          <w:szCs w:val="28"/>
        </w:rPr>
        <w:t>（一）</w:t>
      </w:r>
      <w:r>
        <w:rPr>
          <w:rFonts w:ascii="方正楷体_GBK" w:eastAsia="方正楷体_GBK" w:hint="eastAsia"/>
          <w:b/>
          <w:sz w:val="28"/>
          <w:szCs w:val="28"/>
        </w:rPr>
        <w:t>查看报价文件送达时间：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在《采购公告》规定的</w:t>
      </w:r>
      <w:r>
        <w:rPr>
          <w:rFonts w:eastAsia="方正仿宋_GBK"/>
          <w:sz w:val="28"/>
          <w:szCs w:val="28"/>
        </w:rPr>
        <w:t>报价截止时间之前将报价文件送达</w:t>
      </w:r>
      <w:r>
        <w:rPr>
          <w:rFonts w:eastAsia="方正仿宋_GBK" w:hint="eastAsia"/>
          <w:sz w:val="28"/>
          <w:szCs w:val="28"/>
        </w:rPr>
        <w:t>；</w:t>
      </w:r>
    </w:p>
    <w:p>
      <w:pPr>
        <w:spacing w:line="400" w:lineRule="exact"/>
        <w:ind w:left="640"/>
        <w:rPr>
          <w:rFonts w:ascii="方正楷体_GBK" w:eastAsia="方正楷体_GBK"/>
          <w:b/>
          <w:sz w:val="28"/>
          <w:szCs w:val="28"/>
        </w:rPr>
      </w:pPr>
      <w:r>
        <w:rPr>
          <w:rFonts w:ascii="方正楷体_GBK" w:eastAsia="方正楷体_GBK" w:hint="eastAsia"/>
          <w:b/>
          <w:sz w:val="28"/>
          <w:szCs w:val="28"/>
        </w:rPr>
        <w:t>（二）</w:t>
      </w:r>
      <w:r>
        <w:rPr>
          <w:rFonts w:ascii="方正楷体_GBK" w:eastAsia="方正楷体_GBK"/>
          <w:b/>
          <w:sz w:val="28"/>
          <w:szCs w:val="28"/>
        </w:rPr>
        <w:t>报价文件组成：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1.报价函（附件1，必须提供）；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2.报价明细表（附件2，必须提供）；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3.声明（附件3，必须提供）；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4.有效的营业执照副本复印件（必须提供）；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5.供应商的法定代表人身份证正反面复印件（必须提供）；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6.供应商的法人授权委托书、委托代理人身份证正反面复印件（委托代理时必须提供，</w:t>
      </w:r>
      <w:r>
        <w:rPr>
          <w:rFonts w:eastAsia="方正仿宋_GBK"/>
          <w:color w:val="000000"/>
          <w:sz w:val="28"/>
          <w:szCs w:val="28"/>
        </w:rPr>
        <w:t>同时要加盖单位公章，否则被认定为资格审查不合格而报价无效</w:t>
      </w:r>
      <w:r>
        <w:rPr>
          <w:rFonts w:eastAsia="方正仿宋_GBK"/>
          <w:sz w:val="28"/>
          <w:szCs w:val="28"/>
        </w:rPr>
        <w:t>）；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7.</w:t>
      </w:r>
      <w:r>
        <w:rPr>
          <w:rFonts w:ascii="宋体" w:hint="eastAsia"/>
          <w:sz w:val="28"/>
          <w:szCs w:val="28"/>
        </w:rPr>
        <w:t xml:space="preserve"> </w:t>
      </w:r>
      <w:r>
        <w:rPr>
          <w:rFonts w:eastAsia="方正仿宋_GBK"/>
          <w:sz w:val="28"/>
          <w:szCs w:val="28"/>
        </w:rPr>
        <w:t>“信用中国”（www.creditchina.gov.cn）信用报告</w:t>
      </w:r>
      <w:r>
        <w:rPr>
          <w:rFonts w:eastAsia="方正仿宋_GBK" w:hint="eastAsia"/>
          <w:sz w:val="28"/>
          <w:szCs w:val="28"/>
        </w:rPr>
        <w:t>及</w:t>
      </w:r>
      <w:r>
        <w:rPr>
          <w:rFonts w:eastAsia="方正仿宋_GBK"/>
          <w:sz w:val="28"/>
          <w:szCs w:val="28"/>
        </w:rPr>
        <w:t>中国政府采购网（www.ccgp.gov.cn）政府采购严重违法失信行为信息记录截图</w:t>
      </w:r>
      <w:r>
        <w:rPr>
          <w:rFonts w:ascii="方正仿宋_GBK" w:eastAsia="方正仿宋_GBK" w:hint="eastAsia"/>
          <w:sz w:val="28"/>
          <w:szCs w:val="28"/>
        </w:rPr>
        <w:t>（必须提供）</w:t>
      </w:r>
      <w:r>
        <w:rPr>
          <w:rFonts w:eastAsia="方正仿宋_GBK"/>
          <w:sz w:val="28"/>
          <w:szCs w:val="28"/>
        </w:rPr>
        <w:t>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8.</w:t>
      </w:r>
      <w:r>
        <w:rPr>
          <w:rFonts w:eastAsia="方正仿宋_GBK"/>
          <w:sz w:val="28"/>
          <w:szCs w:val="28"/>
        </w:rPr>
        <w:t xml:space="preserve"> 供应商基本情况介绍</w:t>
      </w:r>
      <w:r>
        <w:rPr>
          <w:rFonts w:eastAsia="方正仿宋_GBK"/>
          <w:color w:val="000000"/>
          <w:sz w:val="28"/>
          <w:szCs w:val="28"/>
        </w:rPr>
        <w:t>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9.</w:t>
      </w:r>
      <w:r>
        <w:rPr>
          <w:rFonts w:eastAsia="方正仿宋_GBK"/>
          <w:color w:val="000000"/>
          <w:sz w:val="28"/>
          <w:szCs w:val="28"/>
        </w:rPr>
        <w:t xml:space="preserve"> 拟派的本项目负责人简历和技术人员表</w:t>
      </w:r>
      <w:r>
        <w:rPr>
          <w:rFonts w:eastAsia="方正仿宋_GBK"/>
          <w:sz w:val="28"/>
          <w:szCs w:val="28"/>
        </w:rPr>
        <w:t>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10. 近</w:t>
      </w:r>
      <w:r>
        <w:rPr>
          <w:rFonts w:eastAsia="方正仿宋_GBK" w:hint="eastAsia"/>
          <w:sz w:val="28"/>
          <w:szCs w:val="28"/>
          <w:lang w:val="en-US" w:eastAsia="zh-CN"/>
        </w:rPr>
        <w:t>五</w:t>
      </w:r>
      <w:r>
        <w:rPr>
          <w:rFonts w:eastAsia="方正仿宋_GBK"/>
          <w:sz w:val="28"/>
          <w:szCs w:val="28"/>
        </w:rPr>
        <w:t>年同类工作相关业绩；</w:t>
      </w:r>
    </w:p>
    <w:p>
      <w:pPr>
        <w:spacing w:line="400" w:lineRule="exact"/>
        <w:ind w:leftChars="-1" w:left="-2" w:firstLineChars="221" w:firstLine="619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11. 提供所报价设备的图片及具体参数（如为设备类项目须提供）</w:t>
      </w:r>
      <w:r>
        <w:rPr>
          <w:rFonts w:eastAsia="方正仿宋_GBK" w:hint="eastAsia"/>
          <w:sz w:val="28"/>
          <w:szCs w:val="28"/>
        </w:rPr>
        <w:t>；</w:t>
      </w:r>
    </w:p>
    <w:p>
      <w:pPr>
        <w:spacing w:line="400" w:lineRule="exact"/>
        <w:ind w:leftChars="-1" w:left="-2" w:firstLineChars="221" w:firstLine="619"/>
        <w:rPr>
          <w:rFonts w:ascii="方正仿宋_GBK"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12.</w:t>
      </w:r>
      <w:r>
        <w:rPr>
          <w:rFonts w:eastAsia="方正仿宋_GBK"/>
          <w:sz w:val="28"/>
          <w:szCs w:val="28"/>
        </w:rPr>
        <w:t>其他证</w:t>
      </w:r>
      <w:r>
        <w:rPr>
          <w:rFonts w:ascii="方正仿宋_GBK" w:eastAsia="方正仿宋_GBK" w:hint="eastAsia"/>
          <w:sz w:val="28"/>
          <w:szCs w:val="28"/>
        </w:rPr>
        <w:t>明文件的复印件（如有请提供）。</w:t>
      </w:r>
    </w:p>
    <w:p>
      <w:pPr>
        <w:spacing w:line="400" w:lineRule="exact"/>
        <w:ind w:leftChars="-1" w:left="-2" w:firstLineChars="221" w:firstLine="619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(注：须按照上述目录顺序装订报价文件，报价文件中的复印件均需盖章确认，属于必须提供的文件，如果缺少则报价无效。）</w:t>
      </w:r>
    </w:p>
    <w:p>
      <w:pPr>
        <w:spacing w:line="400" w:lineRule="exact"/>
        <w:ind w:left="640"/>
        <w:rPr>
          <w:rFonts w:eastAsia="方正仿宋_GBK"/>
          <w:sz w:val="28"/>
          <w:szCs w:val="28"/>
        </w:rPr>
      </w:pPr>
      <w:r>
        <w:rPr>
          <w:rFonts w:ascii="方正楷体_GBK" w:eastAsia="方正楷体_GBK"/>
          <w:b/>
          <w:sz w:val="28"/>
          <w:szCs w:val="28"/>
        </w:rPr>
        <w:t>（</w:t>
      </w:r>
      <w:r>
        <w:rPr>
          <w:rFonts w:ascii="方正楷体_GBK" w:eastAsia="方正楷体_GBK" w:hint="eastAsia"/>
          <w:b/>
          <w:sz w:val="28"/>
          <w:szCs w:val="28"/>
        </w:rPr>
        <w:t>三</w:t>
      </w:r>
      <w:r>
        <w:rPr>
          <w:rFonts w:ascii="方正楷体_GBK" w:eastAsia="方正楷体_GBK"/>
          <w:b/>
          <w:sz w:val="28"/>
          <w:szCs w:val="28"/>
        </w:rPr>
        <w:t>）报价文件包装密封要求</w:t>
      </w:r>
      <w:r>
        <w:rPr>
          <w:rFonts w:eastAsia="方正仿宋_GBK"/>
          <w:sz w:val="28"/>
          <w:szCs w:val="28"/>
        </w:rPr>
        <w:t>。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报价</w:t>
      </w:r>
      <w:r>
        <w:rPr>
          <w:rFonts w:eastAsia="方正仿宋_GBK"/>
          <w:sz w:val="28"/>
          <w:szCs w:val="28"/>
        </w:rPr>
        <w:t>人应将所有报价文件装在一个密封袋内，</w:t>
      </w:r>
      <w:r>
        <w:rPr>
          <w:rFonts w:eastAsia="方正仿宋_GBK" w:hint="eastAsia"/>
          <w:sz w:val="28"/>
          <w:szCs w:val="28"/>
        </w:rPr>
        <w:t>报价</w:t>
      </w:r>
      <w:r>
        <w:rPr>
          <w:rFonts w:eastAsia="方正仿宋_GBK"/>
          <w:sz w:val="28"/>
          <w:szCs w:val="28"/>
        </w:rPr>
        <w:t>文件密封袋的封口处应加贴封条并加盖</w:t>
      </w:r>
      <w:r>
        <w:rPr>
          <w:rFonts w:eastAsia="方正仿宋_GBK" w:hint="eastAsia"/>
          <w:sz w:val="28"/>
          <w:szCs w:val="28"/>
        </w:rPr>
        <w:t>报价</w:t>
      </w:r>
      <w:r>
        <w:rPr>
          <w:rFonts w:eastAsia="方正仿宋_GBK"/>
          <w:sz w:val="28"/>
          <w:szCs w:val="28"/>
        </w:rPr>
        <w:t>人法人单位公章以示密封。</w:t>
      </w:r>
    </w:p>
    <w:p>
      <w:pPr>
        <w:spacing w:line="400" w:lineRule="exact"/>
        <w:ind w:firstLineChars="200" w:firstLine="560"/>
        <w:rPr>
          <w:rFonts w:eastAsia="方正黑体_GBK"/>
          <w:sz w:val="28"/>
          <w:szCs w:val="28"/>
        </w:rPr>
      </w:pPr>
      <w:r>
        <w:rPr>
          <w:rFonts w:eastAsia="方正黑体_GBK"/>
          <w:sz w:val="28"/>
          <w:szCs w:val="28"/>
        </w:rPr>
        <w:t>二、资质评审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具备《采购公告》中企业资质。</w:t>
      </w:r>
    </w:p>
    <w:p>
      <w:pPr>
        <w:spacing w:line="400" w:lineRule="exact"/>
        <w:ind w:firstLineChars="196" w:firstLine="549"/>
        <w:rPr>
          <w:rFonts w:eastAsia="方正黑体_GBK"/>
          <w:sz w:val="28"/>
          <w:szCs w:val="28"/>
        </w:rPr>
      </w:pPr>
      <w:r>
        <w:rPr>
          <w:rFonts w:eastAsia="方正黑体_GBK" w:hint="eastAsia"/>
          <w:sz w:val="28"/>
          <w:szCs w:val="28"/>
        </w:rPr>
        <w:t>三、响应性评审</w:t>
      </w:r>
    </w:p>
    <w:p>
      <w:pPr>
        <w:spacing w:line="400" w:lineRule="exact"/>
        <w:ind w:firstLineChars="200" w:firstLine="560"/>
        <w:rPr>
          <w:rFonts w:eastAsia="方正仿宋_GBK"/>
          <w:color w:val="FF0000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（一）</w:t>
      </w:r>
      <w:r>
        <w:rPr>
          <w:rFonts w:eastAsia="方正仿宋_GBK"/>
          <w:sz w:val="28"/>
          <w:szCs w:val="28"/>
        </w:rPr>
        <w:t>不符合以上</w:t>
      </w:r>
      <w:r>
        <w:rPr>
          <w:rFonts w:eastAsia="方正仿宋_GBK" w:hint="eastAsia"/>
          <w:sz w:val="28"/>
          <w:szCs w:val="28"/>
        </w:rPr>
        <w:t>形式</w:t>
      </w:r>
      <w:r>
        <w:rPr>
          <w:rFonts w:eastAsia="方正仿宋_GBK"/>
          <w:sz w:val="28"/>
          <w:szCs w:val="28"/>
        </w:rPr>
        <w:t>要求</w:t>
      </w:r>
      <w:r>
        <w:rPr>
          <w:rFonts w:eastAsia="方正仿宋_GBK" w:hint="eastAsia"/>
          <w:sz w:val="28"/>
          <w:szCs w:val="28"/>
        </w:rPr>
        <w:t>（标注必须提供的材料未提交的）和资质要求的为不响应采购文件</w:t>
      </w:r>
      <w:r>
        <w:rPr>
          <w:rFonts w:eastAsia="方正仿宋_GBK"/>
          <w:sz w:val="28"/>
          <w:szCs w:val="28"/>
        </w:rPr>
        <w:t>，不</w:t>
      </w:r>
      <w:r>
        <w:rPr>
          <w:rFonts w:eastAsia="方正仿宋_GBK" w:hint="eastAsia"/>
          <w:sz w:val="28"/>
          <w:szCs w:val="28"/>
        </w:rPr>
        <w:t>得</w:t>
      </w:r>
      <w:r>
        <w:rPr>
          <w:rFonts w:eastAsia="方正仿宋_GBK"/>
          <w:sz w:val="28"/>
          <w:szCs w:val="28"/>
        </w:rPr>
        <w:t>参加下一步</w:t>
      </w:r>
      <w:r>
        <w:rPr>
          <w:rFonts w:eastAsia="方正仿宋_GBK" w:hint="eastAsia"/>
          <w:sz w:val="28"/>
          <w:szCs w:val="28"/>
        </w:rPr>
        <w:t>详</w:t>
      </w:r>
      <w:r>
        <w:rPr>
          <w:rFonts w:eastAsia="方正仿宋_GBK"/>
          <w:sz w:val="28"/>
          <w:szCs w:val="28"/>
        </w:rPr>
        <w:t>评。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（二）</w:t>
      </w:r>
      <w:r>
        <w:rPr>
          <w:rFonts w:eastAsia="方正仿宋_GBK"/>
          <w:sz w:val="28"/>
          <w:szCs w:val="28"/>
        </w:rPr>
        <w:t>报价控制在</w:t>
      </w:r>
      <w:r>
        <w:rPr>
          <w:rFonts w:eastAsia="方正仿宋_GBK" w:hint="eastAsia"/>
          <w:sz w:val="28"/>
          <w:szCs w:val="28"/>
        </w:rPr>
        <w:t>预算</w:t>
      </w:r>
      <w:r>
        <w:rPr>
          <w:rFonts w:eastAsia="方正仿宋_GBK"/>
          <w:sz w:val="28"/>
          <w:szCs w:val="28"/>
        </w:rPr>
        <w:t>价以内为有效报价</w:t>
      </w:r>
      <w:r>
        <w:rPr>
          <w:rFonts w:eastAsia="方正仿宋_GBK" w:hint="eastAsia"/>
          <w:sz w:val="28"/>
          <w:szCs w:val="28"/>
        </w:rPr>
        <w:t>，超出预算</w:t>
      </w:r>
      <w:r>
        <w:rPr>
          <w:rFonts w:eastAsia="方正仿宋_GBK"/>
          <w:sz w:val="28"/>
          <w:szCs w:val="28"/>
        </w:rPr>
        <w:t>价</w:t>
      </w:r>
      <w:r>
        <w:rPr>
          <w:rFonts w:eastAsia="方正仿宋_GBK" w:hint="eastAsia"/>
          <w:sz w:val="28"/>
          <w:szCs w:val="28"/>
        </w:rPr>
        <w:t>的报价文件为不响应采购文件，</w:t>
      </w:r>
      <w:r>
        <w:rPr>
          <w:rFonts w:eastAsia="方正仿宋_GBK"/>
          <w:sz w:val="28"/>
          <w:szCs w:val="28"/>
        </w:rPr>
        <w:t>不</w:t>
      </w:r>
      <w:r>
        <w:rPr>
          <w:rFonts w:eastAsia="方正仿宋_GBK" w:hint="eastAsia"/>
          <w:sz w:val="28"/>
          <w:szCs w:val="28"/>
        </w:rPr>
        <w:t>得</w:t>
      </w:r>
      <w:r>
        <w:rPr>
          <w:rFonts w:eastAsia="方正仿宋_GBK"/>
          <w:sz w:val="28"/>
          <w:szCs w:val="28"/>
        </w:rPr>
        <w:t>参加下一步</w:t>
      </w:r>
      <w:r>
        <w:rPr>
          <w:rFonts w:eastAsia="方正仿宋_GBK" w:hint="eastAsia"/>
          <w:sz w:val="28"/>
          <w:szCs w:val="28"/>
        </w:rPr>
        <w:t>详</w:t>
      </w:r>
      <w:r>
        <w:rPr>
          <w:rFonts w:eastAsia="方正仿宋_GBK"/>
          <w:sz w:val="28"/>
          <w:szCs w:val="28"/>
        </w:rPr>
        <w:t>评</w:t>
      </w:r>
      <w:r>
        <w:rPr>
          <w:rFonts w:eastAsia="方正仿宋_GBK" w:hint="eastAsia"/>
          <w:sz w:val="28"/>
          <w:szCs w:val="28"/>
        </w:rPr>
        <w:t>。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（三）</w:t>
      </w:r>
      <w:r>
        <w:rPr>
          <w:rFonts w:eastAsia="方正仿宋_GBK"/>
          <w:sz w:val="28"/>
          <w:szCs w:val="28"/>
        </w:rPr>
        <w:t>报价函</w:t>
      </w:r>
      <w:r>
        <w:rPr>
          <w:rFonts w:eastAsia="方正仿宋_GBK" w:hint="eastAsia"/>
          <w:sz w:val="28"/>
          <w:szCs w:val="28"/>
        </w:rPr>
        <w:t>与</w:t>
      </w:r>
      <w:r>
        <w:rPr>
          <w:rFonts w:eastAsia="方正仿宋_GBK"/>
          <w:sz w:val="28"/>
          <w:szCs w:val="28"/>
        </w:rPr>
        <w:t>报价明细表</w:t>
      </w:r>
      <w:r>
        <w:rPr>
          <w:rFonts w:eastAsia="方正仿宋_GBK" w:hint="eastAsia"/>
          <w:sz w:val="28"/>
          <w:szCs w:val="28"/>
        </w:rPr>
        <w:t>的报价不一致时，以报价函价格为准，报价大、小写不一致时，以大写价格为准。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如评审小组认为报价人有必要对报价文件进行补充或澄清的，可要求报价人在规定时间内提交相关材料或作二次报价。</w:t>
      </w:r>
    </w:p>
    <w:p>
      <w:pPr>
        <w:spacing w:line="400" w:lineRule="exact"/>
        <w:ind w:firstLineChars="200" w:firstLine="560"/>
        <w:rPr>
          <w:rFonts w:ascii="方正黑体_GBK" w:eastAsia="方正黑体_GBK"/>
          <w:color w:val="000000"/>
          <w:sz w:val="28"/>
          <w:szCs w:val="28"/>
        </w:rPr>
      </w:pPr>
      <w:r>
        <w:rPr>
          <w:rFonts w:ascii="方正黑体_GBK" w:eastAsia="方正黑体_GBK" w:hint="eastAsia"/>
          <w:sz w:val="28"/>
          <w:szCs w:val="28"/>
        </w:rPr>
        <w:t>四、评审方法及</w:t>
      </w:r>
      <w:r>
        <w:rPr>
          <w:rFonts w:ascii="方正黑体_GBK" w:eastAsia="方正黑体_GBK" w:hint="eastAsia"/>
          <w:color w:val="000000"/>
          <w:sz w:val="28"/>
          <w:szCs w:val="28"/>
        </w:rPr>
        <w:t>评分标准</w:t>
      </w:r>
    </w:p>
    <w:p>
      <w:pPr>
        <w:snapToGrid w:val="0"/>
        <w:spacing w:line="400" w:lineRule="exact"/>
        <w:ind w:firstLineChars="196" w:firstLine="549"/>
        <w:jc w:val="left"/>
        <w:rPr>
          <w:rFonts w:ascii="仿宋_GB2312" w:eastAsia="仿宋_GB2312" w:cs="Courier New"/>
          <w:b/>
          <w:sz w:val="28"/>
          <w:szCs w:val="28"/>
        </w:rPr>
      </w:pPr>
      <w:r>
        <w:rPr>
          <w:rFonts w:ascii="仿宋_GB2312" w:eastAsia="仿宋_GB2312" w:cs="Courier New" w:hint="eastAsia"/>
          <w:b/>
          <w:sz w:val="28"/>
          <w:szCs w:val="28"/>
        </w:rPr>
        <w:t>（一）评审方法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1.对进入详评的，采用百分制综合评分法。</w:t>
      </w:r>
    </w:p>
    <w:p>
      <w:pPr>
        <w:spacing w:line="400" w:lineRule="exact"/>
        <w:ind w:firstLineChars="200" w:firstLine="560"/>
        <w:rPr>
          <w:rFonts w:eastAsia="方正仿宋_GBK"/>
          <w:sz w:val="28"/>
          <w:szCs w:val="28"/>
        </w:rPr>
      </w:pPr>
      <w:r>
        <w:rPr>
          <w:rFonts w:eastAsia="方正仿宋_GBK" w:hint="eastAsia"/>
          <w:sz w:val="28"/>
          <w:szCs w:val="28"/>
        </w:rPr>
        <w:t>2.计分办法（按四舍五入取至小数点后一位）。</w:t>
      </w:r>
    </w:p>
    <w:p>
      <w:pPr>
        <w:spacing w:line="400" w:lineRule="exact"/>
        <w:ind w:firstLineChars="200" w:firstLine="560"/>
        <w:rPr>
          <w:rFonts w:ascii="方正仿宋_GBK" w:eastAsia="方正仿宋_GBK"/>
          <w:b/>
          <w:bCs/>
          <w:color w:val="000000"/>
          <w:sz w:val="28"/>
          <w:szCs w:val="28"/>
        </w:rPr>
      </w:pPr>
      <w:r>
        <w:rPr>
          <w:rFonts w:ascii="仿宋_GB2312" w:eastAsia="仿宋_GB2312" w:cs="Courier New" w:hint="eastAsia"/>
          <w:b/>
          <w:sz w:val="28"/>
          <w:szCs w:val="28"/>
        </w:rPr>
        <w:t>（二）评分标准</w:t>
      </w:r>
    </w:p>
    <w:tbl>
      <w:tblPr>
        <w:jc w:val="left"/>
        <w:tblInd w:w="-147" w:type="dxa"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538"/>
        <w:gridCol w:w="5686"/>
      </w:tblGrid>
      <w:t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序号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评分项</w:t>
            </w:r>
          </w:p>
        </w:tc>
        <w:tc>
          <w:tcPr>
            <w:tcW w:w="5686" w:type="dxa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宋体" w:eastAsia="宋体"/>
                <w:b/>
                <w:bCs/>
                <w:szCs w:val="28"/>
              </w:rPr>
            </w:pPr>
            <w:r>
              <w:rPr>
                <w:rFonts w:ascii="宋体" w:eastAsia="宋体" w:hint="eastAsia"/>
                <w:b/>
                <w:bCs/>
                <w:szCs w:val="28"/>
              </w:rPr>
              <w:t>评分标准</w:t>
            </w:r>
          </w:p>
        </w:tc>
      </w:tr>
      <w:t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49" w:firstLine="103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1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98" w:firstLine="206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价格分（3</w:t>
            </w:r>
            <w:r>
              <w:rPr>
                <w:rFonts w:ascii="宋体" w:eastAsia="宋体"/>
                <w:b/>
                <w:bCs/>
                <w:szCs w:val="24"/>
              </w:rPr>
              <w:t>0</w:t>
            </w:r>
            <w:r>
              <w:rPr>
                <w:rFonts w:ascii="宋体" w:eastAsia="宋体" w:hint="eastAsia"/>
                <w:b/>
                <w:bCs/>
                <w:szCs w:val="24"/>
              </w:rPr>
              <w:t>分）</w:t>
            </w:r>
          </w:p>
        </w:tc>
        <w:tc>
          <w:tcPr>
            <w:tcW w:w="5686" w:type="dxa"/>
            <w:tcMar>
              <w:top w:w="57" w:type="dxa"/>
              <w:bottom w:w="57" w:type="dxa"/>
            </w:tcMar>
          </w:tcPr>
          <w:p>
            <w:pPr>
              <w:rPr>
                <w:rFonts w:ascii="宋体" w:eastAsia="宋体"/>
                <w:szCs w:val="24"/>
              </w:rPr>
            </w:pPr>
            <w:r>
              <w:rPr>
                <w:rFonts w:ascii="宋体" w:hint="eastAsia"/>
                <w:szCs w:val="24"/>
              </w:rPr>
              <w:t>1、取所有有效报价的最低报价作为最佳报价。</w:t>
            </w:r>
          </w:p>
          <w:p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宋体" w:hint="eastAsia"/>
                <w:szCs w:val="24"/>
              </w:rPr>
              <w:t>2、报价分计算：最佳报价得30分，各投标报价与最佳报价相比，采用线性插入法计算，每高于1%扣1分；每低于1%扣0.5分，扣完30分为止。</w:t>
            </w:r>
          </w:p>
        </w:tc>
      </w:tr>
      <w:tr>
        <w:trPr>
          <w:trHeight w:val="2779"/>
        </w:trP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49" w:firstLine="103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2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98" w:firstLine="206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团队能力（</w:t>
            </w:r>
            <w:r>
              <w:rPr>
                <w:rFonts w:ascii="宋体" w:eastAsia="宋体" w:hint="eastAsia"/>
                <w:b/>
                <w:bCs/>
                <w:szCs w:val="24"/>
                <w:lang w:val="en-US" w:eastAsia="zh-CN"/>
              </w:rPr>
              <w:t>15</w:t>
            </w:r>
            <w:r>
              <w:rPr>
                <w:rFonts w:ascii="宋体" w:eastAsia="宋体" w:hint="eastAsia"/>
                <w:b/>
                <w:bCs/>
                <w:szCs w:val="24"/>
              </w:rPr>
              <w:t>分）</w:t>
            </w:r>
          </w:p>
        </w:tc>
        <w:tc>
          <w:tcPr>
            <w:tcW w:w="5686" w:type="dxa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宋体"/>
                <w:szCs w:val="24"/>
              </w:rPr>
            </w:pPr>
            <w:r>
              <w:rPr>
                <w:rFonts w:ascii="宋体" w:hint="eastAsia"/>
                <w:szCs w:val="24"/>
                <w:lang w:val="en-US" w:eastAsia="zh-CN"/>
              </w:rPr>
              <w:t>1</w:t>
            </w:r>
            <w:r>
              <w:rPr>
                <w:rFonts w:ascii="宋体" w:hint="eastAsia"/>
                <w:szCs w:val="24"/>
              </w:rPr>
              <w:t>、项目设计总负责人具有高级工程师职称的得</w:t>
            </w:r>
            <w:r>
              <w:rPr>
                <w:rFonts w:ascii="宋体" w:hint="eastAsia"/>
                <w:szCs w:val="24"/>
                <w:lang w:val="en-US" w:eastAsia="zh-CN"/>
              </w:rPr>
              <w:t>2</w:t>
            </w:r>
            <w:r>
              <w:rPr>
                <w:rFonts w:ascii="宋体" w:hint="eastAsia"/>
                <w:szCs w:val="24"/>
              </w:rPr>
              <w:t>分，具有一级注册建筑师资格的得</w:t>
            </w:r>
            <w:r>
              <w:rPr>
                <w:rFonts w:ascii="宋体" w:hint="eastAsia"/>
                <w:szCs w:val="24"/>
                <w:lang w:val="en-US" w:eastAsia="zh-CN"/>
              </w:rPr>
              <w:t>3</w:t>
            </w:r>
            <w:r>
              <w:rPr>
                <w:rFonts w:ascii="宋体" w:hint="eastAsia"/>
                <w:szCs w:val="24"/>
              </w:rPr>
              <w:t>分（满分</w:t>
            </w:r>
            <w:r>
              <w:rPr>
                <w:rFonts w:ascii="宋体" w:hint="eastAsia"/>
                <w:szCs w:val="24"/>
                <w:lang w:val="en-US" w:eastAsia="zh-CN"/>
              </w:rPr>
              <w:t>5</w:t>
            </w:r>
            <w:r>
              <w:rPr>
                <w:rFonts w:ascii="宋体" w:hint="eastAsia"/>
                <w:szCs w:val="24"/>
              </w:rPr>
              <w:t>分）；</w:t>
            </w:r>
          </w:p>
          <w:p>
            <w:pPr>
              <w:rPr>
                <w:rFonts w:ascii="宋体"/>
                <w:szCs w:val="24"/>
              </w:rPr>
            </w:pPr>
            <w:r>
              <w:rPr>
                <w:rFonts w:ascii="宋体" w:hint="eastAsia"/>
                <w:szCs w:val="24"/>
              </w:rPr>
              <w:t>2、建筑、结构、给排水、电气、暖通专业负责人具有高级职称的，每一专业得1分（满分</w:t>
            </w:r>
            <w:r>
              <w:rPr>
                <w:rFonts w:ascii="宋体" w:hint="eastAsia"/>
                <w:szCs w:val="24"/>
                <w:lang w:val="en-US" w:eastAsia="zh-CN"/>
              </w:rPr>
              <w:t>5</w:t>
            </w:r>
            <w:r>
              <w:rPr>
                <w:rFonts w:ascii="宋体" w:hint="eastAsia"/>
                <w:szCs w:val="24"/>
              </w:rPr>
              <w:t>分）；</w:t>
            </w:r>
          </w:p>
          <w:p>
            <w:pPr>
              <w:rPr>
                <w:rFonts w:ascii="宋体" w:eastAsia="宋体"/>
                <w:szCs w:val="24"/>
              </w:rPr>
            </w:pPr>
            <w:r>
              <w:rPr>
                <w:rFonts w:ascii="宋体" w:hint="eastAsia"/>
                <w:szCs w:val="24"/>
              </w:rPr>
              <w:t>3、建筑、结构、给排水、电气、暖通专业负责人具有注册师资格的），每一专业得1分（满分</w:t>
            </w:r>
            <w:r>
              <w:rPr>
                <w:rFonts w:ascii="宋体" w:hint="eastAsia"/>
                <w:szCs w:val="24"/>
                <w:lang w:val="en-US" w:eastAsia="zh-CN"/>
              </w:rPr>
              <w:t>5</w:t>
            </w:r>
            <w:r>
              <w:rPr>
                <w:rFonts w:ascii="宋体" w:hint="eastAsia"/>
                <w:szCs w:val="24"/>
              </w:rPr>
              <w:t>分）；</w:t>
            </w:r>
          </w:p>
        </w:tc>
      </w:tr>
      <w:tr>
        <w:trPr>
          <w:trHeight w:val="1106"/>
        </w:trP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49" w:firstLine="103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3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98" w:firstLine="206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信誉分（</w:t>
            </w:r>
            <w:r>
              <w:rPr>
                <w:rFonts w:ascii="宋体" w:eastAsia="宋体" w:hint="eastAsia"/>
                <w:b/>
                <w:bCs/>
                <w:szCs w:val="24"/>
                <w:lang w:val="en-US" w:eastAsia="zh-CN"/>
              </w:rPr>
              <w:t>5</w:t>
            </w:r>
            <w:r>
              <w:rPr>
                <w:rFonts w:ascii="宋体" w:eastAsia="宋体" w:hint="eastAsia"/>
                <w:b/>
                <w:bCs/>
                <w:szCs w:val="24"/>
              </w:rPr>
              <w:t>分）</w:t>
            </w:r>
          </w:p>
        </w:tc>
        <w:tc>
          <w:tcPr>
            <w:tcW w:w="5686" w:type="dxa"/>
            <w:tcMar>
              <w:top w:w="57" w:type="dxa"/>
              <w:bottom w:w="57" w:type="dxa"/>
            </w:tcMar>
            <w:vAlign w:val="center"/>
          </w:tcPr>
          <w:p>
            <w:pPr>
              <w:numPr>
                <w:ilvl w:val="0"/>
                <w:numId w:val="1"/>
              </w:numPr>
              <w:rPr>
                <w:rFonts w:ascii="宋体" w:hint="eastAsia"/>
                <w:szCs w:val="24"/>
              </w:rPr>
            </w:pPr>
            <w:r>
              <w:rPr>
                <w:rFonts w:ascii="宋体" w:hint="eastAsia"/>
                <w:szCs w:val="24"/>
              </w:rPr>
              <w:t>在“信用中国”网站（www.creditchina.gov.cn）、中国政府采购网（www.ccgp.gov.cn）等渠道未被列入失信被执行人、重大税收违法案件当事人名单、政府采购严重违法失信行为记录的得</w:t>
            </w:r>
            <w:r>
              <w:rPr>
                <w:rFonts w:ascii="宋体" w:hint="eastAsia"/>
                <w:szCs w:val="24"/>
                <w:lang w:val="en-US" w:eastAsia="zh-CN"/>
              </w:rPr>
              <w:t>2</w:t>
            </w:r>
            <w:r>
              <w:rPr>
                <w:rFonts w:ascii="宋体" w:hint="eastAsia"/>
                <w:szCs w:val="24"/>
              </w:rPr>
              <w:t>分；</w:t>
            </w:r>
          </w:p>
          <w:p>
            <w:pPr>
              <w:numPr>
                <w:ilvl w:val="0"/>
                <w:numId w:val="1"/>
              </w:numPr>
              <w:rPr>
                <w:rFonts w:ascii="宋体" w:eastAsia="宋体"/>
                <w:szCs w:val="24"/>
              </w:rPr>
            </w:pPr>
            <w:r>
              <w:rPr>
                <w:rFonts w:ascii="宋体" w:hint="eastAsia"/>
                <w:szCs w:val="24"/>
                <w:lang w:val="en-US" w:eastAsia="zh-CN"/>
              </w:rPr>
              <w:t>获得过</w:t>
            </w:r>
            <w:r>
              <w:rPr>
                <w:rFonts w:ascii="宋体" w:hint="eastAsia"/>
                <w:szCs w:val="24"/>
              </w:rPr>
              <w:t>优秀纳税企业</w:t>
            </w:r>
            <w:r>
              <w:rPr>
                <w:rFonts w:ascii="宋体" w:hint="eastAsia"/>
                <w:szCs w:val="24"/>
                <w:lang w:val="en-US" w:eastAsia="zh-CN"/>
              </w:rPr>
              <w:t>称号</w:t>
            </w:r>
            <w:r>
              <w:rPr>
                <w:rFonts w:ascii="宋体" w:hint="eastAsia"/>
                <w:szCs w:val="24"/>
              </w:rPr>
              <w:t>得</w:t>
            </w:r>
            <w:r>
              <w:rPr>
                <w:rFonts w:ascii="宋体" w:hint="eastAsia"/>
                <w:szCs w:val="24"/>
                <w:lang w:val="en-US" w:eastAsia="zh-CN"/>
              </w:rPr>
              <w:t>3</w:t>
            </w:r>
            <w:r>
              <w:rPr>
                <w:rFonts w:ascii="宋体" w:hint="eastAsia"/>
                <w:szCs w:val="24"/>
              </w:rPr>
              <w:t>分。</w:t>
            </w:r>
          </w:p>
        </w:tc>
      </w:tr>
      <w:tr>
        <w:trPr>
          <w:trHeight w:val="1153"/>
        </w:trP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4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147" w:firstLine="309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业绩分（20分）</w:t>
            </w:r>
          </w:p>
        </w:tc>
        <w:tc>
          <w:tcPr>
            <w:tcW w:w="5686" w:type="dxa"/>
            <w:vAlign w:val="center"/>
          </w:tcPr>
          <w:p>
            <w:pPr>
              <w:rPr>
                <w:rFonts w:ascii="宋体"/>
                <w:szCs w:val="24"/>
              </w:rPr>
            </w:pPr>
            <w:r>
              <w:rPr>
                <w:rFonts w:ascii="宋体" w:hint="eastAsia"/>
                <w:szCs w:val="24"/>
              </w:rPr>
              <w:t>20</w:t>
            </w:r>
            <w:r>
              <w:rPr>
                <w:rFonts w:ascii="宋体" w:hint="eastAsia"/>
                <w:szCs w:val="24"/>
                <w:lang w:val="en-US" w:eastAsia="zh-CN"/>
              </w:rPr>
              <w:t>19</w:t>
            </w:r>
            <w:r>
              <w:rPr>
                <w:rFonts w:ascii="宋体" w:hint="eastAsia"/>
                <w:szCs w:val="24"/>
              </w:rPr>
              <w:t>年1月1日以来完成类似本次招标设计项目的，建筑面积大于等于10000平方米设计的每项得10分，满分20分。</w:t>
            </w:r>
          </w:p>
        </w:tc>
      </w:tr>
      <w:tr>
        <w:trPr>
          <w:trHeight w:val="1146"/>
        </w:trP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49" w:firstLine="103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5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98" w:firstLine="206"/>
              <w:rPr>
                <w:rFonts w:ascii="宋体" w:eastAsia="宋体"/>
                <w:b/>
                <w:bCs/>
                <w:szCs w:val="24"/>
              </w:rPr>
            </w:pPr>
            <w:r>
              <w:rPr>
                <w:rFonts w:ascii="宋体" w:eastAsia="宋体" w:hint="eastAsia"/>
                <w:b/>
                <w:bCs/>
                <w:szCs w:val="24"/>
              </w:rPr>
              <w:t>服务承诺分（</w:t>
            </w:r>
            <w:r>
              <w:rPr>
                <w:rFonts w:ascii="宋体" w:eastAsia="宋体" w:hint="eastAsia"/>
                <w:b/>
                <w:bCs/>
                <w:szCs w:val="24"/>
                <w:lang w:val="en-US" w:eastAsia="zh-CN"/>
              </w:rPr>
              <w:t>5</w:t>
            </w:r>
            <w:r>
              <w:rPr>
                <w:rFonts w:ascii="宋体" w:eastAsia="宋体" w:hint="eastAsia"/>
                <w:b/>
                <w:bCs/>
                <w:szCs w:val="24"/>
              </w:rPr>
              <w:t>分）</w:t>
            </w:r>
          </w:p>
        </w:tc>
        <w:tc>
          <w:tcPr>
            <w:tcW w:w="5686" w:type="dxa"/>
            <w:vAlign w:val="center"/>
          </w:tcPr>
          <w:p>
            <w:pPr>
              <w:rPr>
                <w:rFonts w:ascii="宋体"/>
                <w:szCs w:val="24"/>
              </w:rPr>
            </w:pPr>
            <w:r>
              <w:rPr>
                <w:rFonts w:ascii="宋体" w:hint="eastAsia"/>
                <w:szCs w:val="24"/>
              </w:rPr>
              <w:t>一档0.1～2分，二档2.1～4分，三档4.1～6分，由评委在打分前根据各投标人服务承诺书中承诺的工期长短、施工建设服务的设计人员配备、施工问题处理的及时程度等内容，按此标准确定各投标人所属档次，然后评委在各档次内独立打分。</w:t>
            </w:r>
          </w:p>
        </w:tc>
      </w:tr>
      <w:tr>
        <w:trPr>
          <w:trHeight w:val="1146"/>
        </w:trPr>
        <w:tc>
          <w:tcPr>
            <w:tcW w:w="849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49" w:firstLine="103"/>
              <w:rPr>
                <w:rFonts w:ascii="宋体" w:eastAsia="宋体" w:hint="eastAsia"/>
                <w:b/>
                <w:bCs/>
                <w:szCs w:val="24"/>
                <w:lang w:val="en-US" w:eastAsia="zh-CN"/>
              </w:rPr>
            </w:pPr>
            <w:r>
              <w:rPr>
                <w:rFonts w:ascii="宋体" w:eastAsia="宋体" w:hint="eastAsia"/>
                <w:b/>
                <w:bCs/>
                <w:szCs w:val="24"/>
                <w:lang w:val="en-US" w:eastAsia="zh-CN"/>
              </w:rPr>
              <w:t>6</w:t>
            </w:r>
          </w:p>
        </w:tc>
        <w:tc>
          <w:tcPr>
            <w:tcW w:w="2538" w:type="dxa"/>
            <w:tcMar>
              <w:top w:w="57" w:type="dxa"/>
              <w:bottom w:w="57" w:type="dxa"/>
            </w:tcMar>
            <w:vAlign w:val="center"/>
          </w:tcPr>
          <w:p>
            <w:pPr>
              <w:ind w:firstLineChars="98" w:firstLine="206"/>
              <w:rPr>
                <w:rFonts w:ascii="宋体" w:eastAsia="宋体"/>
                <w:b/>
                <w:bCs/>
                <w:szCs w:val="24"/>
                <w:lang w:val="en-US" w:eastAsia="zh-CN"/>
              </w:rPr>
            </w:pPr>
            <w:r>
              <w:rPr>
                <w:rFonts w:ascii="宋体" w:eastAsia="宋体" w:hint="eastAsia"/>
                <w:b/>
                <w:bCs/>
                <w:szCs w:val="24"/>
                <w:lang w:val="en-US" w:eastAsia="zh-CN"/>
              </w:rPr>
              <w:t>服务方案分（25分）</w:t>
            </w:r>
          </w:p>
        </w:tc>
        <w:tc>
          <w:tcPr>
            <w:tcW w:w="5686" w:type="dxa"/>
            <w:vAlign w:val="center"/>
          </w:tcPr>
          <w:p>
            <w:pPr>
              <w:rPr>
                <w:rFonts w:ascii="宋体" w:hint="eastAsia"/>
                <w:szCs w:val="24"/>
              </w:rPr>
            </w:pPr>
            <w:r>
              <w:rPr>
                <w:rFonts w:ascii="宋体" w:hint="eastAsia"/>
                <w:szCs w:val="24"/>
              </w:rPr>
              <w:t>一档（0.1～1</w:t>
            </w:r>
            <w:r>
              <w:rPr>
                <w:rFonts w:ascii="宋体" w:hint="eastAsia"/>
                <w:szCs w:val="24"/>
                <w:lang w:val="en-US" w:eastAsia="zh-CN"/>
              </w:rPr>
              <w:t>0</w:t>
            </w:r>
            <w:r>
              <w:rPr>
                <w:rFonts w:ascii="宋体" w:hint="eastAsia"/>
                <w:szCs w:val="24"/>
              </w:rPr>
              <w:t>分）：方案基本满足竞争性磋商文件和服务要求，叙述不够全面；</w:t>
            </w:r>
          </w:p>
          <w:p>
            <w:pPr>
              <w:rPr>
                <w:rFonts w:ascii="宋体" w:hint="eastAsia"/>
                <w:szCs w:val="24"/>
              </w:rPr>
            </w:pPr>
            <w:r>
              <w:rPr>
                <w:rFonts w:ascii="宋体" w:hint="eastAsia"/>
                <w:szCs w:val="24"/>
              </w:rPr>
              <w:t>二档（1</w:t>
            </w:r>
            <w:r>
              <w:rPr>
                <w:rFonts w:ascii="宋体" w:hint="eastAsia"/>
                <w:szCs w:val="24"/>
                <w:lang w:val="en-US" w:eastAsia="zh-CN"/>
              </w:rPr>
              <w:t>0</w:t>
            </w:r>
            <w:r>
              <w:rPr>
                <w:rFonts w:ascii="宋体" w:hint="eastAsia"/>
                <w:szCs w:val="24"/>
              </w:rPr>
              <w:t>.1～</w:t>
            </w:r>
            <w:r>
              <w:rPr>
                <w:rFonts w:ascii="宋体" w:hint="eastAsia"/>
                <w:szCs w:val="24"/>
                <w:lang w:val="en-US" w:eastAsia="zh-CN"/>
              </w:rPr>
              <w:t>15</w:t>
            </w:r>
            <w:r>
              <w:rPr>
                <w:rFonts w:ascii="宋体" w:hint="eastAsia"/>
                <w:szCs w:val="24"/>
              </w:rPr>
              <w:t>分）：方案符合满足竞争性磋商文件和服务要求，有一定新颖但不尽合理，说明叙述较全面；</w:t>
            </w:r>
          </w:p>
          <w:p>
            <w:pPr>
              <w:rPr>
                <w:rFonts w:ascii="宋体" w:hint="eastAsia"/>
                <w:szCs w:val="24"/>
              </w:rPr>
            </w:pPr>
            <w:r>
              <w:rPr>
                <w:rFonts w:ascii="宋体" w:hint="eastAsia"/>
                <w:szCs w:val="24"/>
              </w:rPr>
              <w:t>三档（</w:t>
            </w:r>
            <w:r>
              <w:rPr>
                <w:rFonts w:ascii="宋体" w:hint="eastAsia"/>
                <w:szCs w:val="24"/>
                <w:lang w:val="en-US" w:eastAsia="zh-CN"/>
              </w:rPr>
              <w:t>15</w:t>
            </w:r>
            <w:r>
              <w:rPr>
                <w:rFonts w:ascii="宋体" w:hint="eastAsia"/>
                <w:szCs w:val="24"/>
              </w:rPr>
              <w:t>.1～</w:t>
            </w:r>
            <w:r>
              <w:rPr>
                <w:rFonts w:ascii="宋体" w:hint="eastAsia"/>
                <w:szCs w:val="24"/>
                <w:lang w:val="en-US" w:eastAsia="zh-CN"/>
              </w:rPr>
              <w:t>25</w:t>
            </w:r>
            <w:r>
              <w:rPr>
                <w:rFonts w:ascii="宋体" w:hint="eastAsia"/>
                <w:szCs w:val="24"/>
              </w:rPr>
              <w:t>分）：方案良好，熟悉本项目地理位置，对项目地理位置、信息条件深入分析论述，人员配置完全满足本项目要求，而且能充分考虑到本项目的具体情况并采取针对性措施。</w:t>
            </w:r>
          </w:p>
        </w:tc>
      </w:tr>
    </w:tbl>
    <w:p>
      <w:pPr>
        <w:snapToGrid w:val="0"/>
        <w:spacing w:line="400" w:lineRule="exact"/>
        <w:ind w:firstLineChars="196" w:firstLine="549"/>
        <w:jc w:val="left"/>
        <w:rPr>
          <w:rFonts w:ascii="仿宋_GB2312" w:eastAsia="仿宋_GB2312" w:cs="Courier New"/>
          <w:b/>
          <w:sz w:val="28"/>
          <w:szCs w:val="28"/>
        </w:rPr>
      </w:pPr>
      <w:r>
        <w:rPr>
          <w:rFonts w:ascii="仿宋_GB2312" w:eastAsia="仿宋_GB2312" w:cs="Courier New" w:hint="eastAsia"/>
          <w:b/>
          <w:sz w:val="28"/>
          <w:szCs w:val="28"/>
        </w:rPr>
        <w:t>3.成交候选人推荐原则</w:t>
      </w:r>
    </w:p>
    <w:p>
      <w:pPr>
        <w:snapToGrid w:val="0"/>
        <w:spacing w:line="400" w:lineRule="exact"/>
        <w:ind w:firstLine="645"/>
        <w:jc w:val="left"/>
        <w:rPr>
          <w:rFonts w:ascii="方正仿宋_GBK" w:eastAsia="方正仿宋_GBK" w:cs="Courier New"/>
          <w:bCs/>
          <w:sz w:val="28"/>
          <w:szCs w:val="28"/>
        </w:rPr>
      </w:pPr>
      <w:r>
        <w:rPr>
          <w:rFonts w:ascii="方正仿宋_GBK" w:eastAsia="方正仿宋_GBK" w:hint="eastAsia"/>
          <w:color w:val="000000"/>
          <w:sz w:val="28"/>
          <w:szCs w:val="28"/>
        </w:rPr>
        <w:t>评审小组将按总得分由高到低排列成交候选供应商顺序（总得分相同时，依次按投标报价低优先、技术分高优先、质量保证期长优先、提交服务成果时间短优先、处理问题到达时间短优先的顺序排列），并依照次序确定成交候选人。</w:t>
      </w:r>
    </w:p>
    <w:p>
      <w:pPr>
        <w:spacing w:line="400" w:lineRule="exact"/>
        <w:ind w:firstLine="630"/>
        <w:rPr>
          <w:rFonts w:eastAsia="方正仿宋_GBK"/>
          <w:sz w:val="28"/>
          <w:szCs w:val="28"/>
        </w:rPr>
      </w:pPr>
      <w:r>
        <w:rPr>
          <w:rFonts w:eastAsia="方正黑体_GBK" w:hint="eastAsia"/>
          <w:sz w:val="28"/>
          <w:szCs w:val="28"/>
        </w:rPr>
        <w:t>五</w:t>
      </w:r>
      <w:r>
        <w:rPr>
          <w:rFonts w:eastAsia="方正黑体_GBK"/>
          <w:sz w:val="28"/>
          <w:szCs w:val="28"/>
        </w:rPr>
        <w:t>、评审地点</w:t>
      </w:r>
      <w:r>
        <w:rPr>
          <w:rFonts w:eastAsia="方正仿宋_GBK"/>
          <w:sz w:val="28"/>
          <w:szCs w:val="28"/>
        </w:rPr>
        <w:t>：</w:t>
      </w:r>
      <w:r>
        <w:rPr>
          <w:rFonts w:eastAsia="方正仿宋_GBK" w:hint="eastAsia"/>
          <w:sz w:val="28"/>
          <w:szCs w:val="28"/>
          <w:lang w:eastAsia="zh-CN"/>
        </w:rPr>
        <w:t>水口海关</w:t>
      </w:r>
      <w:r>
        <w:rPr>
          <w:rFonts w:eastAsia="方正仿宋_GBK"/>
          <w:sz w:val="28"/>
          <w:szCs w:val="28"/>
        </w:rPr>
        <w:t>办公楼</w:t>
      </w:r>
      <w:r>
        <w:rPr>
          <w:rFonts w:eastAsia="方正仿宋_GBK" w:hint="eastAsia"/>
          <w:sz w:val="28"/>
          <w:szCs w:val="28"/>
          <w:lang w:eastAsia="zh-CN"/>
        </w:rPr>
        <w:t>三</w:t>
      </w:r>
      <w:r>
        <w:rPr>
          <w:rFonts w:eastAsia="方正仿宋_GBK"/>
          <w:sz w:val="28"/>
          <w:szCs w:val="28"/>
        </w:rPr>
        <w:t>楼会议室</w:t>
      </w:r>
      <w:r>
        <w:rPr>
          <w:rFonts w:eastAsia="方正仿宋_GBK" w:hint="eastAsia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10" w:usb3="00000000" w:csb0="00040000" w:csb1="00000000"/>
  </w:font>
  <w:font w:name="Courier New">
    <w:altName w:val="MV Boli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altName w:val="NumberOnly"/>
    <w:panose1 w:val="02040503050406030204"/>
    <w:charset w:val="00"/>
    <w:family w:val="roman"/>
    <w:pitch w:val="variable"/>
    <w:sig w:usb0="00000000" w:usb1="00000000" w:usb2="02000000" w:usb3="00000000" w:csb0="2000019F" w:csb1="00000000"/>
  </w:font>
  <w:font w:name="Arial">
    <w:panose1 w:val="020B0604020202020204"/>
    <w:charset w:val="01"/>
    <w:family w:val="swiss"/>
    <w:pitch w:val="variable"/>
    <w:sig w:usb0="E0000AFF" w:usb1="00007843" w:usb2="00000001" w:usb3="00000000" w:csb0="400001BF" w:csb1="DFF7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ABDAE2A5"/>
    <w:multiLevelType w:val="singleLevel"/>
    <w:tmpl w:val="ABDAE2A5"/>
    <w:lvl w:ilvl="0">
      <w:start w:val="1"/>
      <w:numFmt w:val="decimal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NTE3OGNiMDVhOGRiNDcyYWE5ZTEzMDRhOWRiMjEzZm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character" w:default="1" w:styleId="10">
    <w:name w:val="Default Paragraph Font"/>
  </w:style>
  <w:style w:type="paragraph" w:styleId="15">
    <w:name w:val="Plain Text"/>
    <w:basedOn w:val="0"/>
    <w:rPr>
      <w:rFonts w:ascii="宋体"/>
    </w:r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Normal (Web)"/>
    <w:basedOn w:val="0"/>
    <w:pPr>
      <w:widowControl/>
      <w:spacing w:line="480" w:lineRule="auto"/>
      <w:jc w:val="left"/>
    </w:pPr>
    <w:rPr>
      <w:rFonts w:ascii="宋体" w:eastAsia="微软雅黑" w:cs="宋体" w:hAnsi="宋体"/>
      <w:kern w:val="0"/>
      <w:sz w:val="24"/>
      <w:szCs w:val="24"/>
    </w:rPr>
  </w:style>
  <w:style w:type="paragraph" w:styleId="20">
    <w:name w:val="Title"/>
    <w:basedOn w:val="0"/>
    <w:next w:val="0"/>
    <w:pPr>
      <w:spacing w:before="240" w:after="60"/>
      <w:jc w:val="center"/>
      <w:outlineLvl w:val="0"/>
    </w:pPr>
    <w:rPr>
      <w:rFonts w:ascii="Cambria" w:cs="Times New Roman" w:hAnsi="Cambria"/>
      <w:b/>
      <w:bCs/>
      <w:sz w:val="32"/>
      <w:szCs w:val="32"/>
    </w:rPr>
  </w:style>
  <w:style w:type="character" w:customStyle="1" w:styleId="21">
    <w:name w:val="纯文本 Char"/>
    <w:basedOn w:val="10"/>
    <w:rPr>
      <w:rFonts w:ascii="宋体" w:eastAsia="宋体" w:cs="Courier New"/>
      <w:szCs w:val="21"/>
    </w:rPr>
  </w:style>
  <w:style w:type="paragraph" w:customStyle="1" w:styleId="22">
    <w:name w:val="样式 三号"/>
    <w:next w:val="20"/>
    <w:pPr>
      <w:widowControl w:val="0"/>
      <w:spacing w:line="560" w:lineRule="exact"/>
      <w:jc w:val="both"/>
    </w:pPr>
    <w:rPr>
      <w:rFonts w:ascii="宋体" w:eastAsia="方正仿宋_GBK" w:cs="Times New Roman" w:hAnsi="宋体"/>
      <w:spacing w:val="-4"/>
      <w:kern w:val="2"/>
      <w:sz w:val="32"/>
      <w:szCs w:val="32"/>
      <w:lang w:val="en-US" w:eastAsia="zh-CN" w:bidi="ar-SA"/>
    </w:rPr>
  </w:style>
  <w:style w:type="paragraph" w:customStyle="1" w:styleId="23">
    <w:name w:val="List Paragraph"/>
    <w:basedOn w:val="0"/>
    <w:pPr>
      <w:ind w:firstLineChars="200" w:firstLine="200"/>
    </w:pPr>
    <w:rPr>
      <w:rFonts w:ascii="微软雅黑" w:eastAsia="微软雅黑" w:cs="Arial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4</Words>
  <Characters>4</Characters>
  <Lines>1</Lines>
  <Paragraphs>1</Paragraphs>
  <CharactersWithSpaces>4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张顺</dc:creator>
  <cp:lastModifiedBy>朱玮</cp:lastModifiedBy>
  <cp:revision>11</cp:revision>
  <cp:lastPrinted>2022-04-12T09:32:00Z</cp:lastPrinted>
  <dcterms:created xsi:type="dcterms:W3CDTF">2023-05-18T02:27:00Z</dcterms:created>
  <dcterms:modified xsi:type="dcterms:W3CDTF">2025-12-03T08:19:46Z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2052-12.1.0.20305</vt:lpwstr>
  </property>
  <property fmtid="{D5CDD505-2E9C-101B-9397-08002B2CF9AE}" pid="3" name="ICV">
    <vt:lpwstr>724790A438174ABA9BD26A92FFEEB779</vt:lpwstr>
  </property>
  <property fmtid="{D5CDD505-2E9C-101B-9397-08002B2CF9AE}" pid="4" name="KSOTemplateDocerSaveRecord">
    <vt:lpwstr>eyJoZGlkIjoiMjVlMmUyMzUwY2QwYzY2NWQyOWExNzcxNzY0Zjg1YTYiLCJ1c2VySWQiOiI0MTk4MzkwNTcifQ==</vt:lpwstr>
  </property>
</Properties>
</file>