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color w:val="000000"/>
          <w:sz w:val="32"/>
          <w:szCs w:val="32"/>
        </w:rPr>
      </w:pPr>
      <w:bookmarkStart w:id="0" w:name="_GoBack"/>
      <w:bookmarkEnd w:id="0"/>
      <w:r>
        <w:rPr>
          <w:rFonts w:eastAsia="方正小标宋_GBK"/>
          <w:bCs/>
          <w:color w:val="000000"/>
          <w:sz w:val="32"/>
          <w:szCs w:val="32"/>
        </w:rPr>
        <w:t>评</w:t>
      </w:r>
      <w:r>
        <w:rPr>
          <w:rFonts w:eastAsia="方正小标宋_GBK" w:hint="eastAsia"/>
          <w:bCs/>
          <w:color w:val="000000"/>
          <w:sz w:val="32"/>
          <w:szCs w:val="32"/>
        </w:rPr>
        <w:t>审</w:t>
      </w:r>
      <w:r>
        <w:rPr>
          <w:rFonts w:eastAsia="方正小标宋_GBK"/>
          <w:bCs/>
          <w:color w:val="000000"/>
          <w:sz w:val="32"/>
          <w:szCs w:val="32"/>
        </w:rPr>
        <w:t>办法</w:t>
      </w:r>
    </w:p>
    <w:p>
      <w:pPr>
        <w:spacing w:line="540" w:lineRule="exact"/>
        <w:jc w:val="center"/>
        <w:rPr>
          <w:rFonts w:ascii="方正小标宋_GBK" w:eastAsia="方正小标宋_GBK"/>
          <w:bCs/>
          <w:color w:val="000000"/>
          <w:sz w:val="28"/>
          <w:szCs w:val="28"/>
        </w:rPr>
      </w:pPr>
      <w:r>
        <w:rPr>
          <w:rFonts w:ascii="方正小标宋_GBK" w:eastAsia="方正小标宋_GBK" w:hint="eastAsia"/>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ascii="方正黑体_GBK" w:eastAsia="方正黑体_GBK" w:hint="eastAsia"/>
          <w:b/>
          <w:color w:val="000000"/>
          <w:sz w:val="28"/>
          <w:szCs w:val="28"/>
        </w:rPr>
        <w:t>响应文件送达及密封检查</w:t>
      </w:r>
    </w:p>
    <w:p>
      <w:pPr>
        <w:spacing w:line="480" w:lineRule="exact"/>
        <w:ind w:firstLineChars="200" w:firstLine="560"/>
        <w:rPr>
          <w:rFonts w:ascii="方正楷体_GBK" w:eastAsia="方正楷体_GBK"/>
          <w:b/>
          <w:color w:val="000000"/>
          <w:sz w:val="28"/>
          <w:szCs w:val="28"/>
        </w:rPr>
      </w:pPr>
      <w:r>
        <w:rPr>
          <w:rFonts w:ascii="方正楷体_GBK" w:eastAsia="方正楷体_GBK"/>
          <w:b/>
          <w:color w:val="000000"/>
          <w:sz w:val="28"/>
          <w:szCs w:val="28"/>
        </w:rPr>
        <w:t>（一）</w:t>
      </w:r>
      <w:r>
        <w:rPr>
          <w:rFonts w:ascii="方正楷体_GBK" w:eastAsia="方正楷体_GBK" w:hint="eastAsia"/>
          <w:b/>
          <w:color w:val="000000"/>
          <w:sz w:val="28"/>
          <w:szCs w:val="28"/>
        </w:rPr>
        <w:t>查看响应文件送达时间：</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在《采购公告》规定的</w:t>
      </w:r>
      <w:r>
        <w:rPr>
          <w:rFonts w:eastAsia="方正仿宋_GBK"/>
          <w:color w:val="000000"/>
          <w:sz w:val="28"/>
          <w:szCs w:val="28"/>
        </w:rPr>
        <w:t>报价截止时间之前将响应文件送达</w:t>
      </w:r>
      <w:r>
        <w:rPr>
          <w:rFonts w:eastAsia="方正仿宋_GBK" w:hint="eastAsia"/>
          <w:color w:val="000000"/>
          <w:sz w:val="28"/>
          <w:szCs w:val="28"/>
        </w:rPr>
        <w:t>。</w:t>
      </w:r>
    </w:p>
    <w:p>
      <w:pPr>
        <w:spacing w:line="480" w:lineRule="exact"/>
        <w:ind w:left="640"/>
        <w:rPr>
          <w:rFonts w:eastAsia="方正仿宋_GBK"/>
          <w:color w:val="000000"/>
          <w:sz w:val="28"/>
          <w:szCs w:val="28"/>
        </w:rPr>
      </w:pPr>
      <w:r>
        <w:rPr>
          <w:rFonts w:ascii="方正楷体_GBK" w:eastAsia="方正楷体_GBK"/>
          <w:b/>
          <w:color w:val="000000"/>
          <w:sz w:val="28"/>
          <w:szCs w:val="28"/>
        </w:rPr>
        <w:t>（</w:t>
      </w:r>
      <w:r>
        <w:rPr>
          <w:rFonts w:ascii="方正楷体_GBK" w:eastAsia="方正楷体_GBK" w:hint="eastAsia"/>
          <w:b/>
          <w:color w:val="000000"/>
          <w:sz w:val="28"/>
          <w:szCs w:val="28"/>
        </w:rPr>
        <w:t>二</w:t>
      </w:r>
      <w:r>
        <w:rPr>
          <w:rFonts w:ascii="方正楷体_GBK" w:eastAsia="方正楷体_GBK"/>
          <w:b/>
          <w:color w:val="000000"/>
          <w:sz w:val="28"/>
          <w:szCs w:val="28"/>
        </w:rPr>
        <w:t>）响应文件包装密封要求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供应商</w:t>
      </w:r>
      <w:r>
        <w:rPr>
          <w:rFonts w:eastAsia="方正仿宋_GBK"/>
          <w:color w:val="000000"/>
          <w:sz w:val="28"/>
          <w:szCs w:val="28"/>
        </w:rPr>
        <w:t>应将所有响应文件装在一个密封袋内，</w:t>
      </w:r>
      <w:r>
        <w:rPr>
          <w:rFonts w:eastAsia="方正仿宋_GBK" w:hint="eastAsia"/>
          <w:color w:val="000000"/>
          <w:sz w:val="28"/>
          <w:szCs w:val="28"/>
        </w:rPr>
        <w:t>响应文件</w:t>
      </w:r>
      <w:r>
        <w:rPr>
          <w:rFonts w:eastAsia="方正仿宋_GBK"/>
          <w:color w:val="000000"/>
          <w:sz w:val="28"/>
          <w:szCs w:val="28"/>
        </w:rPr>
        <w:t>密封袋的封口处应加贴封条并加盖</w:t>
      </w:r>
      <w:r>
        <w:rPr>
          <w:rFonts w:eastAsia="方正仿宋_GBK" w:hint="eastAsia"/>
          <w:color w:val="000000"/>
          <w:sz w:val="28"/>
          <w:szCs w:val="28"/>
        </w:rPr>
        <w:t>供应商</w:t>
      </w:r>
      <w:r>
        <w:rPr>
          <w:rFonts w:eastAsia="方正仿宋_GBK"/>
          <w:color w:val="000000"/>
          <w:sz w:val="28"/>
          <w:szCs w:val="28"/>
        </w:rPr>
        <w:t>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w:t>
      </w:r>
      <w:r>
        <w:rPr>
          <w:rFonts w:eastAsia="方正黑体_GBK" w:hint="eastAsia"/>
          <w:color w:val="000000"/>
          <w:sz w:val="28"/>
          <w:szCs w:val="28"/>
        </w:rPr>
        <w:t>格审查</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具备《采购公告》中企业资质，通过审查不足3家的应废标，采购人</w:t>
      </w:r>
      <w:r>
        <w:rPr>
          <w:rFonts w:eastAsia="方正仿宋_GBK"/>
          <w:color w:val="000000"/>
          <w:sz w:val="28"/>
          <w:szCs w:val="28"/>
        </w:rPr>
        <w:t>重新组织</w:t>
      </w:r>
      <w:r>
        <w:rPr>
          <w:rFonts w:eastAsia="方正仿宋_GBK" w:hint="eastAsia"/>
          <w:color w:val="000000"/>
          <w:sz w:val="28"/>
          <w:szCs w:val="28"/>
        </w:rPr>
        <w:t>采购</w:t>
      </w:r>
      <w:r>
        <w:rPr>
          <w:rFonts w:eastAsia="方正仿宋_GBK"/>
          <w:color w:val="000000"/>
          <w:sz w:val="28"/>
          <w:szCs w:val="28"/>
        </w:rPr>
        <w:t>。</w:t>
      </w:r>
    </w:p>
    <w:p>
      <w:pPr>
        <w:spacing w:line="480" w:lineRule="exact"/>
        <w:ind w:left="64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640"/>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7.“信用中国”（www.creditchina.gov.cn）信用报告</w:t>
      </w:r>
      <w:r>
        <w:rPr>
          <w:rFonts w:eastAsia="方正仿宋_GBK" w:hint="eastAsia"/>
          <w:sz w:val="28"/>
          <w:szCs w:val="28"/>
        </w:rPr>
        <w:t>及</w:t>
      </w:r>
      <w:r>
        <w:rPr>
          <w:rFonts w:eastAsia="方正仿宋_GBK"/>
          <w:sz w:val="28"/>
          <w:szCs w:val="28"/>
        </w:rPr>
        <w:t>中国政府采购网（www.ccgp.gov.cn）政府采购严重违法失信行为信息记录截图</w:t>
      </w:r>
      <w:r>
        <w:rPr>
          <w:rFonts w:ascii="方正仿宋_GBK" w:eastAsia="方正仿宋_GBK" w:hint="eastAsia"/>
          <w:sz w:val="28"/>
          <w:szCs w:val="28"/>
        </w:rPr>
        <w:t>（必须提供）</w:t>
      </w:r>
      <w:r>
        <w:rPr>
          <w:rFonts w:eastAsia="方正仿宋_GBK"/>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8.供应商基本情况介绍（必须提供）；</w:t>
      </w:r>
    </w:p>
    <w:p>
      <w:pPr>
        <w:spacing w:line="480" w:lineRule="exact"/>
        <w:ind w:leftChars="-1" w:left="-2" w:firstLineChars="221" w:firstLine="619"/>
        <w:rPr>
          <w:rFonts w:eastAsia="方正仿宋_GBK"/>
          <w:sz w:val="28"/>
          <w:szCs w:val="28"/>
        </w:rPr>
      </w:pPr>
      <w:r>
        <w:rPr>
          <w:rFonts w:eastAsia="方正仿宋_GBK"/>
          <w:sz w:val="28"/>
          <w:szCs w:val="28"/>
        </w:rPr>
        <w:t>9.所报价设备的图片、功能概述、具体参数以及技术指标偏离情况（必须提供）；</w:t>
      </w:r>
    </w:p>
    <w:p>
      <w:pPr>
        <w:spacing w:line="480" w:lineRule="exact"/>
        <w:ind w:leftChars="-1" w:left="-2" w:firstLineChars="221" w:firstLine="619"/>
        <w:rPr>
          <w:rFonts w:eastAsia="方正仿宋_GBK"/>
          <w:sz w:val="28"/>
          <w:szCs w:val="28"/>
        </w:rPr>
      </w:pPr>
      <w:r>
        <w:rPr>
          <w:rFonts w:eastAsia="方正仿宋_GBK"/>
          <w:sz w:val="28"/>
          <w:szCs w:val="28"/>
        </w:rPr>
        <w:t>10.服务承诺书（必须提供）；</w:t>
      </w:r>
    </w:p>
    <w:p>
      <w:pPr>
        <w:spacing w:line="480" w:lineRule="exact"/>
        <w:ind w:leftChars="-1" w:left="-2" w:firstLineChars="221" w:firstLine="619"/>
        <w:rPr>
          <w:rFonts w:ascii="方正仿宋_GBK" w:eastAsia="方正仿宋_GBK"/>
          <w:sz w:val="28"/>
          <w:szCs w:val="28"/>
        </w:rPr>
      </w:pPr>
      <w:r>
        <w:rPr>
          <w:rFonts w:eastAsia="方正仿宋_GBK"/>
          <w:sz w:val="28"/>
          <w:szCs w:val="28"/>
        </w:rPr>
        <w:t>11.其他证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28" w:firstLine="638"/>
        <w:rPr>
          <w:rFonts w:ascii="方正黑体_GBK" w:eastAsia="方正黑体_GBK"/>
          <w:strike/>
          <w:dstrike w:val="0"/>
          <w:color w:val="FF000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color w:val="000000"/>
          <w:sz w:val="28"/>
          <w:szCs w:val="28"/>
        </w:rPr>
        <w:t>属于报价无效情形的，不予澄清。</w:t>
      </w:r>
    </w:p>
    <w:p>
      <w:pPr>
        <w:snapToGrid w:val="0"/>
        <w:spacing w:line="480" w:lineRule="exact"/>
        <w:ind w:firstLineChars="196" w:firstLine="549"/>
        <w:jc w:val="left"/>
        <w:rPr>
          <w:rFonts w:ascii="仿宋_GB2312" w:eastAsia="仿宋_GB2312" w:cs="Courier New"/>
          <w:b/>
          <w:color w:val="000000"/>
          <w:sz w:val="28"/>
          <w:szCs w:val="28"/>
        </w:rPr>
      </w:pPr>
      <w:r>
        <w:rPr>
          <w:rFonts w:ascii="仿宋_GB2312" w:eastAsia="仿宋_GB2312" w:cs="Courier New" w:hint="eastAsia"/>
          <w:b/>
          <w:color w:val="000000"/>
          <w:sz w:val="28"/>
          <w:szCs w:val="28"/>
        </w:rPr>
        <w:t>（一）评审方法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1.对进入详评的，采用百分制综合评分法。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2.计分办法（按四舍五入取至小数点后两位）。</w:t>
      </w:r>
    </w:p>
    <w:p>
      <w:pPr>
        <w:spacing w:line="480" w:lineRule="exact"/>
        <w:ind w:firstLineChars="200" w:firstLine="560"/>
        <w:rPr>
          <w:rFonts w:ascii="仿宋_GB2312" w:eastAsia="仿宋_GB2312" w:cs="Courier New"/>
          <w:b/>
          <w:sz w:val="28"/>
          <w:szCs w:val="28"/>
        </w:rPr>
      </w:pPr>
      <w:r>
        <w:rPr>
          <w:rFonts w:ascii="仿宋_GB2312" w:eastAsia="仿宋_GB2312" w:cs="Courier New" w:hint="eastAsia"/>
          <w:b/>
          <w:sz w:val="28"/>
          <w:szCs w:val="28"/>
        </w:rPr>
        <w:t>（二）评分标准</w:t>
      </w:r>
    </w:p>
    <w:tbl>
      <w:tblPr>
        <w:jc w:val="center"/>
        <w:tblW w:w="8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492"/>
        <w:gridCol w:w="1280"/>
        <w:gridCol w:w="7226"/>
      </w:tblGrid>
      <w:tr>
        <w:trPr>
          <w:trHeight w:val="608"/>
        </w:trPr>
        <w:tc>
          <w:tcPr>
            <w:tcW w:w="492" w:type="dxa"/>
            <w:vAlign w:val="center"/>
          </w:tcPr>
          <w:p>
            <w:pPr>
              <w:jc w:val="center"/>
              <w:rPr>
                <w:rFonts w:ascii="宋体" w:cs="Arial"/>
                <w:b/>
                <w:sz w:val="24"/>
                <w:szCs w:val="24"/>
              </w:rPr>
            </w:pPr>
            <w:r>
              <w:rPr>
                <w:rFonts w:ascii="宋体" w:cs="Arial" w:hint="eastAsia"/>
                <w:b/>
                <w:sz w:val="24"/>
                <w:szCs w:val="24"/>
              </w:rPr>
              <w:t>序号</w:t>
            </w:r>
          </w:p>
        </w:tc>
        <w:tc>
          <w:tcPr>
            <w:tcW w:w="1280" w:type="dxa"/>
            <w:vAlign w:val="center"/>
          </w:tcPr>
          <w:p>
            <w:pPr>
              <w:jc w:val="center"/>
              <w:rPr>
                <w:rFonts w:ascii="宋体" w:cs="Arial"/>
                <w:b/>
                <w:sz w:val="24"/>
                <w:szCs w:val="24"/>
              </w:rPr>
            </w:pPr>
            <w:r>
              <w:rPr>
                <w:rFonts w:ascii="宋体" w:cs="Arial" w:hint="eastAsia"/>
                <w:b/>
                <w:sz w:val="24"/>
                <w:szCs w:val="24"/>
              </w:rPr>
              <w:t>评</w:t>
            </w:r>
            <w:r>
              <w:rPr>
                <w:rFonts w:ascii="宋体" w:cs="Arial"/>
                <w:b/>
                <w:sz w:val="24"/>
                <w:szCs w:val="24"/>
              </w:rPr>
              <w:t>分项</w:t>
            </w:r>
          </w:p>
        </w:tc>
        <w:tc>
          <w:tcPr>
            <w:tcW w:w="7226" w:type="dxa"/>
            <w:vAlign w:val="center"/>
          </w:tcPr>
          <w:p>
            <w:pPr>
              <w:jc w:val="center"/>
              <w:rPr>
                <w:rFonts w:ascii="宋体" w:cs="Arial"/>
                <w:b/>
                <w:sz w:val="24"/>
                <w:szCs w:val="24"/>
              </w:rPr>
            </w:pPr>
            <w:r>
              <w:rPr>
                <w:rFonts w:ascii="宋体" w:cs="Arial" w:hint="eastAsia"/>
                <w:b/>
                <w:sz w:val="24"/>
                <w:szCs w:val="24"/>
              </w:rPr>
              <w:t>评分标准</w:t>
            </w:r>
          </w:p>
        </w:tc>
      </w:tr>
      <w:tr>
        <w:trPr>
          <w:trHeight w:val="699"/>
        </w:trPr>
        <w:tc>
          <w:tcPr>
            <w:tcW w:w="492" w:type="dxa"/>
            <w:vAlign w:val="center"/>
          </w:tcPr>
          <w:p>
            <w:pPr>
              <w:spacing w:line="400" w:lineRule="exact"/>
              <w:jc w:val="center"/>
              <w:rPr>
                <w:rFonts w:ascii="宋体" w:eastAsia="宋体" w:cs="Arial"/>
                <w:sz w:val="24"/>
                <w:szCs w:val="24"/>
              </w:rPr>
            </w:pPr>
            <w:r>
              <w:rPr>
                <w:rFonts w:ascii="宋体" w:eastAsia="宋体" w:cs="Arial" w:hint="eastAsia"/>
                <w:sz w:val="24"/>
                <w:szCs w:val="24"/>
              </w:rPr>
              <w:t>1</w:t>
            </w:r>
          </w:p>
        </w:tc>
        <w:tc>
          <w:tcPr>
            <w:tcW w:w="1280" w:type="dxa"/>
            <w:tcBorders>
              <w:top w:val="single" w:sz="4" w:space="0" w:color="000000"/>
              <w:left w:val="single" w:sz="4" w:space="0" w:color="000000"/>
              <w:right w:val="single" w:sz="4" w:space="0" w:color="000000"/>
            </w:tcBorders>
            <w:vAlign w:val="center"/>
          </w:tcPr>
          <w:p>
            <w:pPr>
              <w:spacing w:line="400" w:lineRule="exact"/>
              <w:jc w:val="center"/>
              <w:rPr>
                <w:rFonts w:eastAsia="方正仿宋_GBK" w:cs="宋体"/>
                <w:b/>
                <w:bCs/>
                <w:sz w:val="24"/>
              </w:rPr>
            </w:pPr>
            <w:r>
              <w:rPr>
                <w:rFonts w:eastAsia="方正仿宋_GBK" w:cs="宋体" w:hint="eastAsia"/>
                <w:b/>
                <w:bCs/>
                <w:sz w:val="24"/>
              </w:rPr>
              <w:t>价格</w:t>
            </w:r>
            <w:r>
              <w:rPr>
                <w:rFonts w:eastAsia="方正仿宋_GBK" w:cs="宋体"/>
                <w:b/>
                <w:bCs/>
                <w:sz w:val="24"/>
              </w:rPr>
              <w:t>分</w:t>
            </w:r>
          </w:p>
          <w:p>
            <w:pPr>
              <w:spacing w:line="400" w:lineRule="exact"/>
              <w:ind w:firstLineChars="50" w:firstLine="120"/>
              <w:jc w:val="left"/>
              <w:rPr>
                <w:rFonts w:ascii="宋体" w:eastAsia="宋体" w:cs="Arial"/>
                <w:sz w:val="24"/>
                <w:szCs w:val="24"/>
              </w:rPr>
            </w:pPr>
            <w:r>
              <w:rPr>
                <w:rFonts w:ascii="宋体" w:eastAsia="宋体" w:cs="Arial" w:hint="eastAsia"/>
                <w:sz w:val="24"/>
                <w:szCs w:val="24"/>
              </w:rPr>
              <w:t>（</w:t>
            </w:r>
            <w:r>
              <w:rPr>
                <w:rFonts w:ascii="宋体" w:eastAsia="宋体" w:cs="Arial"/>
                <w:sz w:val="24"/>
                <w:szCs w:val="24"/>
              </w:rPr>
              <w:t>2</w:t>
            </w:r>
            <w:r>
              <w:rPr>
                <w:rFonts w:ascii="宋体" w:eastAsia="宋体" w:cs="Arial" w:hint="eastAsia"/>
                <w:sz w:val="24"/>
                <w:szCs w:val="24"/>
              </w:rPr>
              <w:t>0分）</w:t>
            </w:r>
          </w:p>
        </w:tc>
        <w:tc>
          <w:tcPr>
            <w:tcW w:w="7226" w:type="dxa"/>
            <w:vAlign w:val="center"/>
          </w:tcPr>
          <w:p>
            <w:pPr>
              <w:spacing w:line="400" w:lineRule="exact"/>
              <w:rPr>
                <w:rFonts w:ascii="宋体" w:eastAsia="宋体" w:cs="宋体" w:hint="eastAsia"/>
                <w:color w:val="000000"/>
                <w:kern w:val="0"/>
                <w:sz w:val="24"/>
                <w:szCs w:val="24"/>
              </w:rPr>
            </w:pPr>
            <w:r>
              <w:rPr>
                <w:rFonts w:ascii="宋体" w:eastAsia="宋体" w:cs="宋体" w:hint="eastAsia"/>
                <w:color w:val="000000"/>
                <w:kern w:val="0"/>
                <w:sz w:val="24"/>
                <w:szCs w:val="24"/>
              </w:rPr>
              <w:t>以满足采购文件要求，通过了资格性审查和符合性审查，且最后报价最低的供应商的价格为协商基准价，其价格分为满分。其他供应商的价格分统一按照下列公式计算：</w:t>
            </w:r>
          </w:p>
          <w:p>
            <w:pPr>
              <w:spacing w:line="400" w:lineRule="exact"/>
              <w:rPr>
                <w:rFonts w:ascii="宋体" w:eastAsia="宋体" w:cs="宋体" w:hint="eastAsia"/>
                <w:color w:val="000000"/>
                <w:kern w:val="0"/>
                <w:sz w:val="24"/>
                <w:szCs w:val="24"/>
              </w:rPr>
            </w:pPr>
            <w:r>
              <w:rPr>
                <w:rFonts w:ascii="宋体" w:eastAsia="宋体" w:cs="宋体" w:hint="eastAsia"/>
                <w:color w:val="000000"/>
                <w:kern w:val="0"/>
                <w:sz w:val="24"/>
                <w:szCs w:val="24"/>
              </w:rPr>
              <w:t>协商报价得分=（协商基准价/最后协商报价）×</w:t>
            </w:r>
            <w:r>
              <w:rPr>
                <w:rFonts w:ascii="宋体" w:eastAsia="宋体" w:cs="宋体"/>
                <w:color w:val="000000"/>
                <w:kern w:val="0"/>
                <w:sz w:val="24"/>
                <w:szCs w:val="24"/>
              </w:rPr>
              <w:t>3</w:t>
            </w:r>
            <w:r>
              <w:rPr>
                <w:rFonts w:ascii="宋体" w:eastAsia="宋体" w:cs="宋体" w:hint="eastAsia"/>
                <w:color w:val="000000"/>
                <w:kern w:val="0"/>
                <w:sz w:val="24"/>
                <w:szCs w:val="24"/>
              </w:rPr>
              <w:t>0</w:t>
            </w:r>
          </w:p>
          <w:p>
            <w:pPr>
              <w:spacing w:line="400" w:lineRule="exact"/>
              <w:rPr>
                <w:rFonts w:ascii="宋体" w:eastAsia="宋体" w:cs="Arial"/>
                <w:sz w:val="24"/>
                <w:szCs w:val="24"/>
              </w:rPr>
            </w:pPr>
            <w:r>
              <w:rPr>
                <w:rFonts w:ascii="宋体" w:eastAsia="宋体" w:cs="宋体" w:hint="eastAsia"/>
                <w:color w:val="000000"/>
                <w:kern w:val="0"/>
                <w:sz w:val="24"/>
                <w:szCs w:val="24"/>
              </w:rPr>
              <w:t>最终成交金额＝最后报价。</w:t>
            </w:r>
          </w:p>
        </w:tc>
      </w:tr>
      <w:tr>
        <w:trPr>
          <w:trHeight w:val="2797"/>
        </w:trPr>
        <w:tc>
          <w:tcPr>
            <w:tcW w:w="492" w:type="dxa"/>
            <w:vAlign w:val="center"/>
          </w:tcPr>
          <w:p>
            <w:pPr>
              <w:spacing w:line="400" w:lineRule="exact"/>
              <w:jc w:val="center"/>
              <w:rPr>
                <w:rFonts w:ascii="宋体" w:eastAsia="宋体" w:cs="Arial"/>
                <w:sz w:val="24"/>
                <w:szCs w:val="24"/>
              </w:rPr>
            </w:pPr>
            <w:r>
              <w:rPr>
                <w:rFonts w:ascii="宋体" w:eastAsia="宋体" w:cs="Arial" w:hint="eastAsia"/>
                <w:sz w:val="24"/>
                <w:szCs w:val="24"/>
              </w:rPr>
              <w:t>2</w:t>
            </w:r>
          </w:p>
        </w:tc>
        <w:tc>
          <w:tcPr>
            <w:tcW w:w="1280" w:type="dxa"/>
            <w:tcBorders>
              <w:top w:val="single" w:sz="4" w:space="0" w:color="000000"/>
              <w:left w:val="single" w:sz="4" w:space="0" w:color="000000"/>
              <w:right w:val="single" w:sz="4" w:space="0" w:color="000000"/>
            </w:tcBorders>
            <w:vAlign w:val="center"/>
          </w:tcPr>
          <w:p>
            <w:pPr>
              <w:spacing w:line="400" w:lineRule="exact"/>
              <w:jc w:val="center"/>
              <w:rPr>
                <w:rFonts w:eastAsia="方正仿宋_GBK" w:cs="宋体"/>
                <w:b/>
                <w:bCs/>
                <w:sz w:val="24"/>
              </w:rPr>
            </w:pPr>
            <w:r>
              <w:rPr>
                <w:rFonts w:eastAsia="方正仿宋_GBK" w:cs="宋体"/>
                <w:b/>
                <w:bCs/>
                <w:sz w:val="24"/>
              </w:rPr>
              <w:t>技术分</w:t>
            </w:r>
          </w:p>
          <w:p>
            <w:pPr>
              <w:spacing w:line="400" w:lineRule="exact"/>
              <w:jc w:val="center"/>
              <w:rPr>
                <w:rFonts w:eastAsia="方正仿宋_GBK" w:cs="宋体"/>
                <w:b/>
                <w:bCs/>
                <w:sz w:val="24"/>
              </w:rPr>
            </w:pPr>
            <w:r>
              <w:rPr>
                <w:rFonts w:ascii="宋体" w:eastAsia="宋体" w:cs="Arial" w:hint="eastAsia"/>
                <w:sz w:val="24"/>
                <w:szCs w:val="24"/>
              </w:rPr>
              <w:t>（</w:t>
            </w:r>
            <w:r>
              <w:rPr>
                <w:rFonts w:ascii="宋体" w:eastAsia="宋体" w:cs="Arial"/>
                <w:sz w:val="24"/>
                <w:szCs w:val="24"/>
              </w:rPr>
              <w:t>40</w:t>
            </w:r>
            <w:r>
              <w:rPr>
                <w:rFonts w:ascii="宋体" w:eastAsia="宋体" w:cs="Arial" w:hint="eastAsia"/>
                <w:sz w:val="24"/>
                <w:szCs w:val="24"/>
              </w:rPr>
              <w:t>分）</w:t>
            </w:r>
          </w:p>
        </w:tc>
        <w:tc>
          <w:tcPr>
            <w:tcW w:w="7226" w:type="dxa"/>
            <w:vAlign w:val="center"/>
          </w:tcPr>
          <w:p>
            <w:pPr>
              <w:spacing w:line="400" w:lineRule="exact"/>
              <w:rPr>
                <w:rFonts w:ascii="宋体" w:eastAsia="宋体" w:cs="宋体"/>
                <w:color w:val="000000"/>
                <w:kern w:val="0"/>
                <w:sz w:val="24"/>
                <w:szCs w:val="24"/>
              </w:rPr>
            </w:pPr>
            <w:r>
              <w:rPr>
                <w:rFonts w:ascii="宋体" w:eastAsia="宋体" w:cs="宋体" w:hint="eastAsia"/>
                <w:color w:val="000000"/>
                <w:kern w:val="0"/>
                <w:sz w:val="24"/>
                <w:szCs w:val="24"/>
              </w:rPr>
              <w:t>由协商小组根据供应商的响应文件中所提供的</w:t>
            </w:r>
            <w:r>
              <w:rPr>
                <w:rFonts w:ascii="宋体" w:eastAsia="宋体" w:cs="宋体"/>
                <w:color w:val="000000"/>
                <w:kern w:val="0"/>
                <w:sz w:val="24"/>
                <w:szCs w:val="24"/>
              </w:rPr>
              <w:t>设备的图片、功能概述、具体参数以及技术指标偏离情况</w:t>
            </w:r>
            <w:r>
              <w:rPr>
                <w:rFonts w:ascii="宋体" w:eastAsia="宋体" w:cs="宋体" w:hint="eastAsia"/>
                <w:color w:val="000000"/>
                <w:kern w:val="0"/>
                <w:sz w:val="24"/>
                <w:szCs w:val="24"/>
              </w:rPr>
              <w:t>进行评价：应答无负偏离的得</w:t>
            </w:r>
            <w:r>
              <w:rPr>
                <w:rFonts w:ascii="宋体" w:eastAsia="宋体" w:cs="宋体"/>
                <w:color w:val="000000"/>
                <w:kern w:val="0"/>
                <w:sz w:val="24"/>
                <w:szCs w:val="24"/>
              </w:rPr>
              <w:t>40</w:t>
            </w:r>
            <w:r>
              <w:rPr>
                <w:rFonts w:ascii="宋体" w:eastAsia="宋体" w:cs="宋体" w:hint="eastAsia"/>
                <w:color w:val="000000"/>
                <w:kern w:val="0"/>
                <w:sz w:val="24"/>
                <w:szCs w:val="24"/>
              </w:rPr>
              <w:t>分的基础分，每有一项不满足的扣</w:t>
            </w:r>
            <w:r>
              <w:rPr>
                <w:rFonts w:ascii="宋体" w:eastAsia="宋体" w:cs="宋体"/>
                <w:color w:val="000000"/>
                <w:kern w:val="0"/>
                <w:sz w:val="24"/>
                <w:szCs w:val="24"/>
              </w:rPr>
              <w:t>5</w:t>
            </w:r>
            <w:r>
              <w:rPr>
                <w:rFonts w:ascii="宋体" w:eastAsia="宋体" w:cs="宋体" w:hint="eastAsia"/>
                <w:color w:val="000000"/>
                <w:kern w:val="0"/>
                <w:sz w:val="24"/>
                <w:szCs w:val="24"/>
              </w:rPr>
              <w:t>分基础分。</w:t>
            </w:r>
          </w:p>
        </w:tc>
      </w:tr>
      <w:tr>
        <w:trPr>
          <w:trHeight w:val="444"/>
        </w:trPr>
        <w:tc>
          <w:tcPr>
            <w:tcW w:w="492" w:type="dxa"/>
            <w:vAlign w:val="center"/>
          </w:tcPr>
          <w:p>
            <w:pPr>
              <w:spacing w:line="400" w:lineRule="exact"/>
              <w:jc w:val="center"/>
              <w:rPr>
                <w:rFonts w:ascii="宋体" w:eastAsia="宋体" w:cs="Arial"/>
                <w:sz w:val="24"/>
                <w:szCs w:val="24"/>
              </w:rPr>
            </w:pPr>
            <w:r>
              <w:rPr>
                <w:rFonts w:ascii="宋体" w:eastAsia="宋体" w:cs="Arial"/>
                <w:sz w:val="24"/>
                <w:szCs w:val="24"/>
              </w:rPr>
              <w:t>3</w:t>
            </w:r>
          </w:p>
        </w:tc>
        <w:tc>
          <w:tcPr>
            <w:tcW w:w="1280" w:type="dxa"/>
            <w:tcBorders>
              <w:left w:val="single" w:sz="4" w:space="0" w:color="auto"/>
            </w:tcBorders>
            <w:vAlign w:val="center"/>
          </w:tcPr>
          <w:p>
            <w:pPr>
              <w:spacing w:line="400" w:lineRule="exact"/>
              <w:jc w:val="center"/>
              <w:rPr>
                <w:rFonts w:ascii="宋体" w:eastAsia="宋体" w:cs="宋体"/>
                <w:sz w:val="24"/>
                <w:szCs w:val="24"/>
              </w:rPr>
            </w:pPr>
            <w:r>
              <w:rPr>
                <w:rFonts w:eastAsia="方正仿宋_GBK" w:cs="宋体"/>
                <w:b/>
                <w:bCs/>
                <w:sz w:val="24"/>
              </w:rPr>
              <w:t>服务分</w:t>
            </w:r>
            <w:r>
              <w:rPr>
                <w:rFonts w:ascii="宋体" w:eastAsia="宋体" w:cs="宋体" w:hint="eastAsia"/>
                <w:sz w:val="24"/>
                <w:szCs w:val="24"/>
              </w:rPr>
              <w:t>（</w:t>
            </w:r>
            <w:r>
              <w:rPr>
                <w:rFonts w:ascii="宋体" w:eastAsia="宋体" w:cs="宋体"/>
                <w:sz w:val="24"/>
                <w:szCs w:val="24"/>
              </w:rPr>
              <w:t>40</w:t>
            </w:r>
            <w:r>
              <w:rPr>
                <w:rFonts w:ascii="宋体" w:eastAsia="宋体" w:cs="宋体" w:hint="eastAsia"/>
                <w:sz w:val="24"/>
                <w:szCs w:val="24"/>
              </w:rPr>
              <w:t>分）</w:t>
            </w:r>
          </w:p>
        </w:tc>
        <w:tc>
          <w:tcPr>
            <w:tcW w:w="7226" w:type="dxa"/>
          </w:tcPr>
          <w:p>
            <w:pPr>
              <w:spacing w:line="400" w:lineRule="exact"/>
              <w:rPr>
                <w:rFonts w:ascii="宋体" w:cs="宋体" w:hint="eastAsia"/>
                <w:color w:val="000000"/>
                <w:kern w:val="0"/>
                <w:sz w:val="24"/>
                <w:szCs w:val="24"/>
                <w:bdr w:val="none" w:sz="0" w:space="0" w:color="auto"/>
              </w:rPr>
            </w:pPr>
            <w:r>
              <w:rPr>
                <w:rFonts w:ascii="宋体" w:cs="宋体"/>
                <w:color w:val="000000"/>
                <w:kern w:val="0"/>
                <w:sz w:val="24"/>
                <w:szCs w:val="24"/>
                <w:bdr w:val="none" w:sz="0" w:space="0" w:color="auto"/>
              </w:rPr>
              <w:t>由协商小组根据供应商</w:t>
            </w:r>
            <w:r>
              <w:rPr>
                <w:rFonts w:ascii="宋体" w:eastAsia="宋体" w:cs="宋体" w:hint="eastAsia"/>
                <w:color w:val="000000"/>
                <w:kern w:val="0"/>
                <w:sz w:val="24"/>
                <w:szCs w:val="24"/>
              </w:rPr>
              <w:t>响应文件中所提供</w:t>
            </w:r>
            <w:r>
              <w:rPr>
                <w:rFonts w:ascii="宋体" w:eastAsia="宋体" w:cs="宋体"/>
                <w:color w:val="000000"/>
                <w:kern w:val="0"/>
                <w:sz w:val="24"/>
                <w:szCs w:val="24"/>
              </w:rPr>
              <w:t>的服务承诺书等文件材料，对</w:t>
            </w:r>
            <w:r>
              <w:rPr>
                <w:rFonts w:ascii="宋体" w:cs="宋体"/>
                <w:color w:val="000000"/>
                <w:kern w:val="0"/>
                <w:sz w:val="24"/>
                <w:szCs w:val="24"/>
                <w:bdr w:val="none" w:sz="0" w:space="0" w:color="auto"/>
              </w:rPr>
              <w:t>售后服务体系、保修服务承诺、应用技术支持等方面进行考察评分。</w:t>
            </w:r>
          </w:p>
          <w:p>
            <w:pPr>
              <w:spacing w:line="400" w:lineRule="exact"/>
              <w:rPr>
                <w:rFonts w:ascii="宋体" w:cs="宋体" w:hint="eastAsia"/>
                <w:color w:val="000000"/>
                <w:kern w:val="0"/>
                <w:sz w:val="24"/>
                <w:szCs w:val="24"/>
                <w:bdr w:val="none" w:sz="0" w:space="0" w:color="auto"/>
              </w:rPr>
            </w:pPr>
            <w:r>
              <w:rPr>
                <w:rFonts w:ascii="宋体" w:cs="宋体" w:hint="eastAsia"/>
                <w:color w:val="000000"/>
                <w:kern w:val="0"/>
                <w:sz w:val="24"/>
                <w:szCs w:val="24"/>
                <w:bdr w:val="none" w:sz="0" w:space="0" w:color="auto"/>
              </w:rPr>
              <w:t>一档（</w:t>
            </w:r>
            <w:r>
              <w:rPr>
                <w:rFonts w:ascii="宋体" w:cs="宋体"/>
                <w:color w:val="000000"/>
                <w:kern w:val="0"/>
                <w:sz w:val="24"/>
                <w:szCs w:val="24"/>
                <w:bdr w:val="none" w:sz="0" w:space="0" w:color="auto"/>
              </w:rPr>
              <w:t>31</w:t>
            </w:r>
            <w:r>
              <w:rPr>
                <w:rFonts w:ascii="宋体" w:cs="宋体" w:hint="eastAsia"/>
                <w:color w:val="000000"/>
                <w:kern w:val="0"/>
                <w:sz w:val="24"/>
                <w:szCs w:val="24"/>
                <w:bdr w:val="none" w:sz="0" w:space="0" w:color="auto"/>
              </w:rPr>
              <w:t>-</w:t>
            </w:r>
            <w:r>
              <w:rPr>
                <w:rFonts w:ascii="宋体" w:cs="宋体"/>
                <w:color w:val="000000"/>
                <w:kern w:val="0"/>
                <w:sz w:val="24"/>
                <w:szCs w:val="24"/>
                <w:bdr w:val="none" w:sz="0" w:space="0" w:color="auto"/>
              </w:rPr>
              <w:t>40</w:t>
            </w:r>
            <w:r>
              <w:rPr>
                <w:rFonts w:ascii="宋体" w:cs="宋体" w:hint="eastAsia"/>
                <w:color w:val="000000"/>
                <w:kern w:val="0"/>
                <w:sz w:val="24"/>
                <w:szCs w:val="24"/>
                <w:bdr w:val="none" w:sz="0" w:space="0" w:color="auto"/>
              </w:rPr>
              <w:t>分）：</w:t>
            </w:r>
            <w:r>
              <w:rPr>
                <w:rFonts w:ascii="宋体" w:cs="宋体"/>
                <w:color w:val="000000"/>
                <w:kern w:val="0"/>
                <w:sz w:val="24"/>
                <w:szCs w:val="24"/>
                <w:bdr w:val="none" w:sz="0" w:space="0" w:color="auto"/>
              </w:rPr>
              <w:t>服务方案和承诺完全满足项目需求，技术支持及售后服务内容全面</w:t>
            </w:r>
            <w:r>
              <w:rPr>
                <w:rFonts w:ascii="宋体" w:cs="宋体" w:hint="eastAsia"/>
                <w:color w:val="000000"/>
                <w:kern w:val="0"/>
                <w:sz w:val="24"/>
                <w:szCs w:val="24"/>
                <w:bdr w:val="none" w:sz="0" w:space="0" w:color="auto"/>
              </w:rPr>
              <w:t>。</w:t>
            </w:r>
          </w:p>
          <w:p>
            <w:pPr>
              <w:spacing w:line="400" w:lineRule="exact"/>
              <w:rPr>
                <w:rFonts w:ascii="宋体" w:cs="宋体" w:hint="eastAsia"/>
                <w:color w:val="000000"/>
                <w:kern w:val="0"/>
                <w:sz w:val="24"/>
                <w:szCs w:val="24"/>
                <w:bdr w:val="none" w:sz="0" w:space="0" w:color="auto"/>
              </w:rPr>
            </w:pPr>
            <w:r>
              <w:rPr>
                <w:rFonts w:ascii="宋体" w:cs="宋体" w:hint="eastAsia"/>
                <w:color w:val="000000"/>
                <w:kern w:val="0"/>
                <w:sz w:val="24"/>
                <w:szCs w:val="24"/>
                <w:bdr w:val="none" w:sz="0" w:space="0" w:color="auto"/>
              </w:rPr>
              <w:t>二档（</w:t>
            </w:r>
            <w:r>
              <w:rPr>
                <w:rFonts w:ascii="宋体" w:cs="宋体"/>
                <w:color w:val="000000"/>
                <w:kern w:val="0"/>
                <w:sz w:val="24"/>
                <w:szCs w:val="24"/>
                <w:bdr w:val="none" w:sz="0" w:space="0" w:color="auto"/>
              </w:rPr>
              <w:t>21</w:t>
            </w:r>
            <w:r>
              <w:rPr>
                <w:rFonts w:ascii="宋体" w:cs="宋体" w:hint="eastAsia"/>
                <w:color w:val="000000"/>
                <w:kern w:val="0"/>
                <w:sz w:val="24"/>
                <w:szCs w:val="24"/>
                <w:bdr w:val="none" w:sz="0" w:space="0" w:color="auto"/>
              </w:rPr>
              <w:t>-</w:t>
            </w:r>
            <w:r>
              <w:rPr>
                <w:rFonts w:ascii="宋体" w:cs="宋体"/>
                <w:color w:val="000000"/>
                <w:kern w:val="0"/>
                <w:sz w:val="24"/>
                <w:szCs w:val="24"/>
                <w:bdr w:val="none" w:sz="0" w:space="0" w:color="auto"/>
              </w:rPr>
              <w:t>3</w:t>
            </w:r>
            <w:r>
              <w:rPr>
                <w:rFonts w:ascii="宋体" w:cs="宋体" w:hint="eastAsia"/>
                <w:color w:val="000000"/>
                <w:kern w:val="0"/>
                <w:sz w:val="24"/>
                <w:szCs w:val="24"/>
                <w:bdr w:val="none" w:sz="0" w:space="0" w:color="auto"/>
              </w:rPr>
              <w:t>0分）：</w:t>
            </w:r>
            <w:r>
              <w:rPr>
                <w:rFonts w:ascii="宋体" w:cs="宋体"/>
                <w:color w:val="000000"/>
                <w:kern w:val="0"/>
                <w:sz w:val="24"/>
                <w:szCs w:val="24"/>
                <w:bdr w:val="none" w:sz="0" w:space="0" w:color="auto"/>
              </w:rPr>
              <w:t>服务方案和承诺基本满足项目需求，技术支持及售后服务内容一般</w:t>
            </w:r>
            <w:r>
              <w:rPr>
                <w:rFonts w:ascii="宋体" w:cs="宋体" w:hint="eastAsia"/>
                <w:color w:val="000000"/>
                <w:kern w:val="0"/>
                <w:sz w:val="24"/>
                <w:szCs w:val="24"/>
                <w:bdr w:val="none" w:sz="0" w:space="0" w:color="auto"/>
              </w:rPr>
              <w:t>。</w:t>
            </w:r>
          </w:p>
          <w:p>
            <w:pPr>
              <w:spacing w:line="400" w:lineRule="exact"/>
              <w:rPr>
                <w:rFonts w:ascii="宋体" w:eastAsia="宋体" w:cs="宋体"/>
                <w:color w:val="000000"/>
                <w:kern w:val="0"/>
                <w:sz w:val="24"/>
                <w:szCs w:val="24"/>
              </w:rPr>
            </w:pPr>
            <w:r>
              <w:rPr>
                <w:rFonts w:ascii="宋体" w:cs="宋体" w:hint="eastAsia"/>
                <w:color w:val="000000"/>
                <w:kern w:val="0"/>
                <w:sz w:val="24"/>
                <w:szCs w:val="24"/>
                <w:bdr w:val="none" w:sz="0" w:space="0" w:color="auto"/>
              </w:rPr>
              <w:t>三档（</w:t>
            </w:r>
            <w:r>
              <w:rPr>
                <w:rFonts w:ascii="宋体" w:cs="宋体"/>
                <w:color w:val="000000"/>
                <w:kern w:val="0"/>
                <w:sz w:val="24"/>
                <w:szCs w:val="24"/>
                <w:bdr w:val="none" w:sz="0" w:space="0" w:color="auto"/>
              </w:rPr>
              <w:t>20</w:t>
            </w:r>
            <w:r>
              <w:rPr>
                <w:rFonts w:ascii="宋体" w:cs="宋体" w:hint="eastAsia"/>
                <w:color w:val="000000"/>
                <w:kern w:val="0"/>
                <w:sz w:val="24"/>
                <w:szCs w:val="24"/>
                <w:bdr w:val="none" w:sz="0" w:space="0" w:color="auto"/>
              </w:rPr>
              <w:t>分以下）：</w:t>
            </w:r>
            <w:r>
              <w:rPr>
                <w:rFonts w:ascii="宋体" w:cs="宋体"/>
                <w:color w:val="000000"/>
                <w:kern w:val="0"/>
                <w:sz w:val="24"/>
                <w:szCs w:val="24"/>
                <w:bdr w:val="none" w:sz="0" w:space="0" w:color="auto"/>
              </w:rPr>
              <w:t>有方案但内容缺失多、可行性差</w:t>
            </w:r>
            <w:r>
              <w:rPr>
                <w:rFonts w:ascii="宋体" w:cs="宋体" w:hint="eastAsia"/>
                <w:color w:val="000000"/>
                <w:kern w:val="0"/>
                <w:sz w:val="24"/>
                <w:szCs w:val="24"/>
                <w:bdr w:val="none" w:sz="0" w:space="0" w:color="auto"/>
              </w:rPr>
              <w:t>。</w:t>
            </w:r>
          </w:p>
        </w:tc>
      </w:tr>
    </w:tbl>
    <w:p>
      <w:pPr>
        <w:snapToGrid w:val="0"/>
        <w:spacing w:line="480" w:lineRule="exact"/>
        <w:ind w:firstLineChars="196" w:firstLine="549"/>
        <w:jc w:val="left"/>
        <w:rPr>
          <w:rFonts w:ascii="仿宋_GB2312" w:eastAsia="仿宋_GB2312" w:cs="Courier New"/>
          <w:b/>
          <w:sz w:val="28"/>
          <w:szCs w:val="28"/>
        </w:rPr>
      </w:pPr>
      <w:r>
        <w:rPr>
          <w:rFonts w:ascii="仿宋_GB2312" w:eastAsia="仿宋_GB2312" w:cs="Courier New" w:hint="eastAsia"/>
          <w:b/>
          <w:sz w:val="28"/>
          <w:szCs w:val="28"/>
        </w:rPr>
        <w:t>（三）成交候选人确定/推荐原则</w:t>
      </w:r>
    </w:p>
    <w:p>
      <w:pPr>
        <w:snapToGrid w:val="0"/>
        <w:spacing w:line="480" w:lineRule="exact"/>
        <w:ind w:firstLineChars="200" w:firstLine="560"/>
        <w:jc w:val="left"/>
        <w:rPr>
          <w:rFonts w:ascii="方正仿宋_GBK" w:eastAsia="方正仿宋_GBK"/>
          <w:color w:val="000000"/>
          <w:sz w:val="28"/>
          <w:szCs w:val="28"/>
        </w:rPr>
      </w:pPr>
      <w:r>
        <w:rPr>
          <w:rFonts w:ascii="方正仿宋_GBK" w:eastAsia="方正仿宋_GBK" w:hint="eastAsia"/>
          <w:color w:val="000000"/>
          <w:sz w:val="28"/>
          <w:szCs w:val="28"/>
        </w:rPr>
        <w:t>评审小组将按总得分由高到低排列成交候选供应商顺序（总得分相同时，依次按</w:t>
      </w:r>
      <w:r>
        <w:rPr>
          <w:rFonts w:ascii="方正仿宋_GBK" w:eastAsia="方正仿宋_GBK"/>
          <w:color w:val="000000"/>
          <w:sz w:val="28"/>
          <w:szCs w:val="28"/>
        </w:rPr>
        <w:t>技术评分高优先、响应</w:t>
      </w:r>
      <w:r>
        <w:rPr>
          <w:rFonts w:ascii="方正仿宋_GBK" w:eastAsia="方正仿宋_GBK" w:hint="eastAsia"/>
          <w:color w:val="000000"/>
          <w:sz w:val="28"/>
          <w:szCs w:val="28"/>
        </w:rPr>
        <w:t>报价低优先的顺序排列），并依照次序确定/推荐成交候选人。</w:t>
      </w:r>
    </w:p>
    <w:p>
      <w:pPr>
        <w:spacing w:line="480" w:lineRule="exact"/>
        <w:ind w:firstLine="630"/>
        <w:rPr>
          <w:rFonts w:eastAsia="方正仿宋_GBK"/>
          <w:sz w:val="28"/>
          <w:szCs w:val="28"/>
        </w:rPr>
      </w:pPr>
      <w:r>
        <w:rPr>
          <w:rFonts w:eastAsia="方正黑体_GBK" w:hint="eastAsia"/>
          <w:color w:val="000000"/>
          <w:sz w:val="28"/>
          <w:szCs w:val="28"/>
        </w:rPr>
        <w:t>六</w:t>
      </w:r>
      <w:r>
        <w:rPr>
          <w:rFonts w:eastAsia="方正黑体_GBK"/>
          <w:color w:val="000000"/>
          <w:sz w:val="28"/>
          <w:szCs w:val="28"/>
        </w:rPr>
        <w:t>、评审地点</w:t>
      </w:r>
      <w:r>
        <w:rPr>
          <w:rFonts w:eastAsia="方正仿宋_GBK"/>
          <w:color w:val="000000"/>
          <w:sz w:val="28"/>
          <w:szCs w:val="28"/>
        </w:rPr>
        <w:t>：玉林海关5楼会议室</w:t>
      </w:r>
      <w:r>
        <w:rPr>
          <w:rFonts w:eastAsia="方正仿宋_GBK" w:hint="eastAsia"/>
          <w:sz w:val="28"/>
          <w:szCs w:val="28"/>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1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0000000000000000000"/>
    <w:charset w:val="86"/>
    <w:family w:val="modern"/>
    <w:pitch w:val="variable"/>
    <w:sig w:usb0="00000001" w:usb1="080E0000" w:usb2="00000010" w:usb3="00000000" w:csb0="00040000" w:csb1="00000000"/>
  </w:font>
  <w:font w:name="Courier New">
    <w:altName w:val="DejaVu Sans"/>
    <w:panose1 w:val="02070309020205020404"/>
    <w:charset w:val="00"/>
    <w:family w:val="modern"/>
    <w:pitch w:val="variable"/>
    <w:sig w:usb0="E0002AFF" w:usb1="C0007843" w:usb2="00000009" w:usb3="00000000" w:csb0="000001FF" w:csb1="00000000"/>
  </w:font>
  <w:font w:name="宋体">
    <w:altName w:val="汉仪仿宋简"/>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Times New Roman">
    <w:altName w:val="DejaVu Sans"/>
    <w:panose1 w:val="02020603050405020304"/>
    <w:charset w:val="00"/>
    <w:family w:val="roman"/>
    <w:pitch w:val="variable"/>
    <w:sig w:usb0="E0002AFF" w:usb1="C0007841" w:usb2="00000009" w:usb3="00000000" w:csb0="000001FF" w:csb1="00000000"/>
  </w:font>
  <w:font w:name="方正兰亭黑_GBK">
    <w:altName w:val="华文仿宋"/>
    <w:panose1 w:val="02000000000000000000"/>
    <w:charset w:val="86"/>
    <w:family w:val="script"/>
    <w:pitch w:val="variable"/>
    <w:sig w:usb0="A00002BF" w:usb1="3ACF7CFA" w:usb2="00080016" w:usb3="00000000" w:csb0="00040001" w:csb1="00000000"/>
  </w:font>
  <w:font w:name="黑体">
    <w:altName w:val="方正黑体_GBK"/>
    <w:panose1 w:val="00000000000000000000"/>
    <w:charset w:val="00"/>
    <w:family w:val="auto"/>
    <w:pitch w:val="variable"/>
    <w:sig w:usb0="00000000" w:usb1="00000000" w:usb2="00000000" w:usb3="00000000" w:csb0="00000000" w:csb1="00000000"/>
  </w:font>
  <w:font w:name="微软雅黑">
    <w:altName w:val="方正黑体_GBK"/>
    <w:panose1 w:val="020B0503020204020204"/>
    <w:charset w:val="86"/>
    <w:family w:val="swiss"/>
    <w:pitch w:val="variable"/>
    <w:sig w:usb0="80000287" w:usb1="280F3C52" w:usb2="00000016" w:usb3="00000000" w:csb0="0004001F" w:csb1="00000000"/>
  </w:font>
  <w:font w:name="Calibri">
    <w:altName w:val="DejaVu Sans"/>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样式 22 10 磅"/>
    <w:pPr>
      <w:widowControl w:val="0"/>
      <w:jc w:val="both"/>
    </w:pPr>
    <w:rPr>
      <w:rFonts w:ascii="Calibri" w:eastAsia="宋体" w:cs="Times New Roman" w:hAnsi="Calibri"/>
      <w:kern w:val="2"/>
      <w:sz w:val="21"/>
      <w:szCs w:val="24"/>
      <w:lang w:val="en-US" w:eastAsia="zh-CN" w:bidi="ar-SA"/>
    </w:rPr>
  </w:style>
  <w:style w:type="paragraph" w:customStyle="1" w:styleId="22">
    <w:name w:val="样式 三号"/>
    <w:pPr>
      <w:spacing w:line="560" w:lineRule="exact"/>
      <w:ind w:firstLineChars="200" w:firstLine="200"/>
    </w:pPr>
    <w:rPr>
      <w:rFonts w:ascii="Times New Roman" w:eastAsia="方正仿宋_GBK" w:cs="Times New Roman" w:hAnsi="Times New Roman"/>
      <w:kern w:val="0"/>
      <w:sz w:val="32"/>
      <w:szCs w:val="22"/>
      <w:lang w:val="en-US" w:eastAsia="zh-CN" w:bidi="en-US"/>
    </w:rPr>
  </w:style>
  <w:style w:type="paragraph" w:customStyle="1" w:styleId="23">
    <w:name w:val="样式 24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771</TotalTime>
  <Application>Yozo_Office</Application>
  <Pages>3</Pages>
  <Words>1425</Words>
  <Characters>1494</Characters>
  <Lines>84</Lines>
  <Paragraphs>57</Paragraphs>
  <CharactersWithSpaces>1495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李琦</cp:lastModifiedBy>
  <cp:revision>23</cp:revision>
  <cp:lastPrinted>2025-10-23T08:24:49Z</cp:lastPrinted>
  <dcterms:created xsi:type="dcterms:W3CDTF">2022-08-23T09:15:00Z</dcterms:created>
  <dcterms:modified xsi:type="dcterms:W3CDTF">2025-12-12T08:54:39Z</dcterms:modified>
</cp:coreProperties>
</file>