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22"/>
        <w:adjustRightInd w:val="0"/>
        <w:spacing w:line="560" w:lineRule="exact"/>
        <w:ind w:left="0"/>
        <w:textAlignment w:val="baseline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/>
          <w:sz w:val="32"/>
          <w:szCs w:val="32"/>
        </w:rPr>
        <w:t>1</w:t>
      </w:r>
    </w:p>
    <w:p>
      <w:pPr>
        <w:pStyle w:val="22"/>
        <w:adjustRightInd w:val="0"/>
        <w:spacing w:line="560" w:lineRule="exact"/>
        <w:textAlignment w:val="baseline"/>
        <w:rPr>
          <w:rFonts w:ascii="方正黑体_GBK" w:eastAsia="方正黑体_GBK" w:hint="eastAsia"/>
          <w:sz w:val="32"/>
          <w:szCs w:val="32"/>
        </w:rPr>
      </w:pP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南宁海关“保税+ERP”联网监管系统</w:t>
      </w: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数据采集服务需求</w:t>
      </w: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b/>
          <w:sz w:val="44"/>
          <w:szCs w:val="44"/>
        </w:rPr>
      </w:pPr>
    </w:p>
    <w:p>
      <w:pPr>
        <w:pStyle w:val="22"/>
        <w:adjustRightInd w:val="0"/>
        <w:spacing w:line="560" w:lineRule="exact"/>
        <w:ind w:firstLineChars="200" w:firstLine="640"/>
        <w:textAlignment w:val="baseline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一、服务</w:t>
      </w:r>
      <w:r>
        <w:rPr>
          <w:rFonts w:ascii="方正黑体_GBK" w:eastAsia="方正黑体_GBK"/>
          <w:sz w:val="32"/>
          <w:szCs w:val="32"/>
        </w:rPr>
        <w:t>内容</w:t>
      </w:r>
    </w:p>
    <w:p>
      <w:pPr>
        <w:pStyle w:val="73"/>
        <w:numPr>
          <w:ilvl w:val="0"/>
          <w:numId w:val="0"/>
        </w:numPr>
        <w:spacing w:before="0" w:after="0" w:line="560" w:lineRule="exact"/>
        <w:ind w:left="0" w:firstLineChars="200" w:firstLine="640"/>
        <w:jc w:val="left"/>
        <w:outlineLvl w:val="9"/>
        <w:rPr>
          <w:rFonts w:ascii="方正仿宋_GBK" w:eastAsia="方正仿宋_GBK" w:hint="eastAsia"/>
          <w:b w:val="0"/>
          <w:bCs w:val="0"/>
        </w:rPr>
      </w:pPr>
      <w:r>
        <w:rPr>
          <w:rFonts w:ascii="方正仿宋_GBK" w:eastAsia="方正仿宋_GBK" w:hint="eastAsia"/>
          <w:b w:val="0"/>
          <w:bCs w:val="0"/>
          <w:sz w:val="32"/>
          <w:szCs w:val="32"/>
        </w:rPr>
        <w:t>此次购买的“保税</w:t>
      </w:r>
      <w:r>
        <w:rPr>
          <w:rFonts w:ascii="Times New Roman" w:eastAsia="方正仿宋_GBK" w:hAnsi="Times New Roman"/>
          <w:b w:val="0"/>
          <w:bCs w:val="0"/>
          <w:sz w:val="32"/>
          <w:szCs w:val="32"/>
        </w:rPr>
        <w:t>+ERP</w:t>
      </w:r>
      <w:r>
        <w:rPr>
          <w:rFonts w:ascii="方正仿宋_GBK" w:eastAsia="方正仿宋_GBK" w:hint="eastAsia"/>
          <w:b w:val="0"/>
          <w:bCs w:val="0"/>
          <w:sz w:val="32"/>
          <w:szCs w:val="32"/>
        </w:rPr>
        <w:t>”联网监管系统数据采集服务</w:t>
      </w:r>
      <w:r>
        <w:rPr>
          <w:rFonts w:ascii="方正仿宋_GBK" w:eastAsia="方正仿宋_GBK"/>
          <w:b w:val="0"/>
          <w:bCs w:val="0"/>
        </w:rPr>
        <w:t>。具体服务内容如下：</w:t>
      </w:r>
    </w:p>
    <w:p>
      <w:pPr>
        <w:spacing w:line="560" w:lineRule="exact"/>
        <w:ind w:firstLineChars="200" w:firstLine="640"/>
        <w:rPr>
          <w:rFonts w:ascii="方正楷体_GBK" w:eastAsia="方正楷体_GBK" w:hint="eastAsia"/>
          <w:b/>
          <w:bCs/>
          <w:sz w:val="32"/>
          <w:szCs w:val="32"/>
        </w:rPr>
      </w:pPr>
      <w:r>
        <w:rPr>
          <w:rFonts w:ascii="方正楷体_GBK" w:eastAsia="方正楷体_GBK" w:hint="eastAsia"/>
          <w:b/>
          <w:bCs/>
          <w:sz w:val="32"/>
          <w:szCs w:val="32"/>
        </w:rPr>
        <w:t>（一）</w:t>
      </w:r>
      <w:r>
        <w:rPr>
          <w:rFonts w:ascii="方正楷体_GBK" w:eastAsia="方正楷体_GBK" w:cs="方正楷体_GBK" w:hint="eastAsia"/>
          <w:b/>
          <w:bCs/>
          <w:sz w:val="32"/>
          <w:szCs w:val="32"/>
        </w:rPr>
        <w:t>南宁海关“保税+</w:t>
      </w: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ERP</w:t>
      </w:r>
      <w:r>
        <w:rPr>
          <w:rFonts w:ascii="方正楷体_GBK" w:eastAsia="方正楷体_GBK" w:cs="方正楷体_GBK" w:hint="eastAsia"/>
          <w:b/>
          <w:bCs/>
          <w:sz w:val="32"/>
          <w:szCs w:val="32"/>
        </w:rPr>
        <w:t>”联网监管系统数据采集服务。</w:t>
      </w:r>
    </w:p>
    <w:p>
      <w:pPr>
        <w:pStyle w:val="148"/>
        <w:spacing w:line="560" w:lineRule="exact"/>
        <w:ind w:firstLineChars="200" w:firstLine="640"/>
        <w:rPr>
          <w:rFonts w:ascii="Times New Roman" w:eastAsia="方正仿宋_GBK" w:hAnsi="Times New Roman"/>
        </w:rPr>
      </w:pPr>
      <w:r>
        <w:t>开发采数客户端，</w:t>
      </w:r>
      <w:r>
        <w:rPr>
          <w:rFonts w:hint="eastAsia"/>
        </w:rPr>
        <w:t xml:space="preserve">通过数据采集客户端前置模式，连接企业数据库采集相关数据，从企业 ERP </w:t>
      </w:r>
      <w:r>
        <w:t>/WMS</w:t>
      </w:r>
      <w:r>
        <w:rPr>
          <w:rFonts w:hint="eastAsia"/>
        </w:rPr>
        <w:t>系统中提炼出与海关监管有关的相关数据字段</w:t>
      </w:r>
      <w:r>
        <w:t>，</w:t>
      </w:r>
      <w:r>
        <w:rPr>
          <w:rFonts w:hint="eastAsia"/>
        </w:rPr>
        <w:t>同步到到海关端。采集覆盖企业采购、生产、销售、库存、财务等主要业务环节，以统一的对接标准适应不同企业、不同版本的 ERP</w:t>
      </w:r>
      <w:r>
        <w:t>/WMS</w:t>
      </w:r>
      <w:r>
        <w:rPr>
          <w:rFonts w:hint="eastAsia"/>
        </w:rPr>
        <w:t>对接需求。</w:t>
      </w:r>
      <w:r>
        <w:rPr>
          <w:rFonts w:eastAsia="方正仿宋_GBK"/>
          <w:sz w:val="32"/>
          <w:szCs w:val="32"/>
        </w:rPr>
        <w:t>建立相应数据展示模型对</w:t>
      </w:r>
      <w:r>
        <w:rPr>
          <w:rFonts w:ascii="Times New Roman" w:eastAsia="方正仿宋_GBK" w:hAnsi="Times New Roman" w:hint="eastAsia"/>
        </w:rPr>
        <w:t>抓取的企业与进出口活动有关的生产经营数据进行分析</w:t>
      </w:r>
      <w:r>
        <w:rPr>
          <w:rFonts w:ascii="Times New Roman" w:eastAsia="方正仿宋_GBK" w:hAnsi="Times New Roman"/>
        </w:rPr>
        <w:t>。</w:t>
      </w:r>
    </w:p>
    <w:p>
      <w:pPr>
        <w:pStyle w:val="148"/>
        <w:spacing w:line="560" w:lineRule="exact"/>
        <w:ind w:firstLineChars="200" w:firstLine="640"/>
        <w:rPr>
          <w:rFonts w:hint="eastAsia"/>
        </w:rPr>
      </w:pPr>
      <w:r>
        <w:rPr>
          <w:rFonts w:eastAsia="方正仿宋_GBK"/>
          <w:szCs w:val="32"/>
        </w:rPr>
        <w:t>系统服务</w:t>
      </w:r>
      <w:r>
        <w:rPr>
          <w:rFonts w:eastAsia="方正仿宋_GBK" w:hint="eastAsia"/>
          <w:szCs w:val="32"/>
        </w:rPr>
        <w:t>部署于海关业务网、</w:t>
      </w:r>
      <w:r>
        <w:rPr>
          <w:rFonts w:eastAsia="方正仿宋_GBK"/>
          <w:szCs w:val="32"/>
        </w:rPr>
        <w:t>对外接入局域网</w:t>
      </w:r>
      <w:r>
        <w:rPr>
          <w:rFonts w:eastAsia="方正仿宋_GBK" w:hint="eastAsia"/>
          <w:szCs w:val="32"/>
        </w:rPr>
        <w:t>。应用范围为关区各</w:t>
      </w:r>
      <w:r>
        <w:rPr>
          <w:rFonts w:eastAsia="方正仿宋_GBK"/>
          <w:szCs w:val="32"/>
        </w:rPr>
        <w:t>保税企业</w:t>
      </w:r>
      <w:r>
        <w:rPr>
          <w:rFonts w:eastAsia="方正仿宋_GBK" w:hint="eastAsia"/>
          <w:szCs w:val="32"/>
        </w:rPr>
        <w:t>。</w:t>
      </w:r>
    </w:p>
    <w:p>
      <w:pPr>
        <w:pStyle w:val="41"/>
        <w:keepNext w:val="0"/>
        <w:keepLines w:val="0"/>
        <w:widowControl w:val="0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黑体_GBK" w:eastAsia="方正黑体_GBK"/>
          <w:b w:val="0"/>
          <w:bCs w:val="0"/>
          <w:sz w:val="32"/>
          <w:szCs w:val="32"/>
          <w:highlight w:val="auto"/>
        </w:rPr>
      </w:pPr>
      <w:bookmarkStart w:id="1" w:name="_Toc53565668"/>
      <w:r>
        <w:rPr>
          <w:rFonts w:ascii="方正黑体_GBK" w:eastAsia="方正黑体_GBK"/>
          <w:b w:val="0"/>
          <w:bCs w:val="0"/>
          <w:sz w:val="32"/>
          <w:szCs w:val="32"/>
          <w:highlight w:val="auto"/>
        </w:rPr>
        <w:t>二、</w:t>
      </w:r>
      <w:bookmarkEnd w:id="1"/>
      <w:r>
        <w:rPr>
          <w:rFonts w:ascii="方正黑体_GBK" w:eastAsia="方正黑体_GBK"/>
          <w:b w:val="0"/>
          <w:bCs w:val="0"/>
          <w:sz w:val="32"/>
          <w:szCs w:val="32"/>
          <w:highlight w:val="auto"/>
        </w:rPr>
        <w:t>数据采集</w:t>
      </w:r>
      <w:r>
        <w:rPr>
          <w:rFonts w:ascii="方正黑体_GBK" w:eastAsia="方正黑体_GBK" w:hint="eastAsia"/>
          <w:b w:val="0"/>
          <w:bCs w:val="0"/>
          <w:sz w:val="32"/>
          <w:szCs w:val="32"/>
          <w:highlight w:val="auto"/>
        </w:rPr>
        <w:t>服务能力要求</w:t>
      </w:r>
    </w:p>
    <w:p>
      <w:pPr>
        <w:pStyle w:val="49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楷体_GBK" w:eastAsia="方正楷体_GBK" w:hint="eastAsia"/>
          <w:highlight w:val="auto"/>
        </w:rPr>
      </w:pPr>
      <w:bookmarkStart w:id="2" w:name="_Toc53565664"/>
      <w:r>
        <w:rPr>
          <w:rFonts w:ascii="方正楷体_GBK" w:eastAsia="方正楷体_GBK" w:hint="eastAsia"/>
          <w:highlight w:val="auto"/>
        </w:rPr>
        <w:t>（</w:t>
      </w:r>
      <w:r>
        <w:rPr>
          <w:rFonts w:ascii="方正楷体_GBK" w:eastAsia="方正楷体_GBK" w:hint="eastAsia"/>
          <w:lang w:eastAsia="zh-CN"/>
          <w:highlight w:val="auto"/>
        </w:rPr>
        <w:t>一</w:t>
      </w:r>
      <w:r>
        <w:rPr>
          <w:rFonts w:ascii="方正楷体_GBK" w:eastAsia="方正楷体_GBK" w:hint="eastAsia"/>
          <w:highlight w:val="auto"/>
        </w:rPr>
        <w:t>）</w:t>
      </w:r>
      <w:r>
        <w:rPr>
          <w:rFonts w:ascii="方正楷体_GBK" w:eastAsia="方正楷体_GBK"/>
          <w:highlight w:val="auto"/>
        </w:rPr>
        <w:t>数据采集服务人员</w:t>
      </w:r>
      <w:r>
        <w:rPr>
          <w:rFonts w:ascii="方正楷体_GBK" w:eastAsia="方正楷体_GBK" w:hint="eastAsia"/>
          <w:highlight w:val="auto"/>
        </w:rPr>
        <w:t>要求</w:t>
      </w:r>
      <w:bookmarkEnd w:id="2"/>
      <w:r>
        <w:rPr>
          <w:rFonts w:ascii="方正楷体_GBK" w:eastAsia="方正楷体_GBK" w:hint="eastAsia"/>
          <w:highlight w:val="auto"/>
        </w:rPr>
        <w:t>。</w:t>
      </w:r>
    </w:p>
    <w:p>
      <w:pPr>
        <w:spacing w:line="560" w:lineRule="exact"/>
        <w:ind w:left="0" w:firstLineChars="200" w:firstLine="640"/>
        <w:rPr>
          <w:rFonts w:eastAsia="方正仿宋_GBK"/>
          <w:sz w:val="32"/>
          <w:szCs w:val="32"/>
          <w:highlight w:val="auto"/>
        </w:rPr>
      </w:pP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1.</w:t>
      </w:r>
      <w:r>
        <w:rPr>
          <w:rFonts w:eastAsia="方正仿宋_GBK"/>
          <w:sz w:val="32"/>
          <w:szCs w:val="32"/>
          <w:highlight w:val="auto"/>
        </w:rPr>
        <w:t>应</w:t>
      </w:r>
      <w:r>
        <w:rPr>
          <w:rFonts w:eastAsia="方正仿宋_GBK" w:hint="eastAsia"/>
          <w:sz w:val="32"/>
          <w:szCs w:val="32"/>
          <w:highlight w:val="auto"/>
        </w:rPr>
        <w:t>提供专业</w:t>
      </w:r>
      <w:r>
        <w:rPr>
          <w:rFonts w:eastAsia="方正仿宋_GBK"/>
          <w:sz w:val="32"/>
          <w:szCs w:val="32"/>
          <w:highlight w:val="auto"/>
        </w:rPr>
        <w:t>的</w:t>
      </w:r>
      <w:r>
        <w:rPr>
          <w:rFonts w:eastAsia="方正仿宋_GBK" w:hint="eastAsia"/>
          <w:sz w:val="32"/>
          <w:szCs w:val="32"/>
          <w:highlight w:val="auto"/>
        </w:rPr>
        <w:t>本地服务团队支持，该团队</w:t>
      </w: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包括1名项目负责人和至少3名</w:t>
      </w:r>
      <w:r>
        <w:rPr>
          <w:rFonts w:eastAsia="方正仿宋_GBK" w:hint="eastAsia"/>
          <w:sz w:val="32"/>
          <w:szCs w:val="32"/>
          <w:highlight w:val="auto"/>
        </w:rPr>
        <w:t>技术人员</w:t>
      </w:r>
      <w:r>
        <w:rPr>
          <w:rFonts w:eastAsia="方正仿宋_GBK" w:hint="eastAsia"/>
          <w:sz w:val="32"/>
          <w:szCs w:val="32"/>
          <w:lang w:eastAsia="zh-CN"/>
          <w:highlight w:val="auto"/>
        </w:rPr>
        <w:t>，能够驻点南宁海关进行运维等工作</w:t>
      </w:r>
      <w:r>
        <w:rPr>
          <w:rFonts w:eastAsia="方正仿宋_GBK" w:hint="eastAsia"/>
          <w:sz w:val="32"/>
          <w:szCs w:val="32"/>
          <w:highlight w:val="auto"/>
        </w:rPr>
        <w:t>。</w:t>
      </w:r>
    </w:p>
    <w:p>
      <w:pPr>
        <w:pStyle w:val="52"/>
        <w:spacing w:line="560" w:lineRule="exact"/>
        <w:ind w:left="0" w:firstLineChars="200" w:firstLine="640"/>
        <w:rPr>
          <w:rFonts w:eastAsia="方正仿宋_GBK" w:hint="eastAsia"/>
          <w:sz w:val="32"/>
          <w:szCs w:val="32"/>
          <w:highlight w:val="auto"/>
        </w:rPr>
      </w:pPr>
      <w:r>
        <w:rPr>
          <w:rFonts w:eastAsia="方正仿宋_GBK"/>
          <w:sz w:val="32"/>
          <w:szCs w:val="32"/>
          <w:lang w:val="en-US" w:eastAsia="zh-CN"/>
          <w:highlight w:val="auto"/>
        </w:rPr>
        <w:t>2.</w:t>
      </w:r>
      <w:r>
        <w:rPr>
          <w:rFonts w:eastAsia="方正仿宋_GBK" w:cs="宋体" w:hint="eastAsia"/>
          <w:sz w:val="32"/>
          <w:szCs w:val="32"/>
          <w:highlight w:val="auto"/>
        </w:rPr>
        <w:t>项目负责人</w:t>
      </w:r>
      <w:r>
        <w:rPr>
          <w:rFonts w:eastAsia="方正仿宋_GBK" w:cs="宋体" w:hint="eastAsia"/>
          <w:sz w:val="32"/>
          <w:szCs w:val="32"/>
          <w:lang w:eastAsia="zh-CN"/>
          <w:highlight w:val="auto"/>
        </w:rPr>
        <w:t>及</w:t>
      </w:r>
      <w:r>
        <w:rPr>
          <w:rFonts w:eastAsia="方正仿宋_GBK"/>
          <w:sz w:val="32"/>
          <w:szCs w:val="32"/>
          <w:highlight w:val="auto"/>
        </w:rPr>
        <w:t>技术人</w:t>
      </w:r>
      <w:r>
        <w:rPr>
          <w:rFonts w:eastAsia="方正仿宋_GBK" w:cs="宋体" w:hint="eastAsia"/>
          <w:sz w:val="32"/>
          <w:szCs w:val="32"/>
          <w:highlight w:val="auto"/>
        </w:rPr>
        <w:t>员应具有中级及以上</w:t>
      </w:r>
      <w:r>
        <w:rPr>
          <w:rFonts w:eastAsia="方正仿宋_GBK" w:cs="宋体" w:hint="eastAsia"/>
          <w:sz w:val="32"/>
          <w:szCs w:val="32"/>
          <w:lang w:eastAsia="zh-CN"/>
          <w:highlight w:val="auto"/>
        </w:rPr>
        <w:t>软考</w:t>
      </w:r>
      <w:r>
        <w:rPr>
          <w:rFonts w:eastAsia="方正仿宋_GBK" w:cs="宋体" w:hint="eastAsia"/>
          <w:sz w:val="32"/>
          <w:szCs w:val="32"/>
          <w:highlight w:val="auto"/>
        </w:rPr>
        <w:t>证书</w:t>
      </w:r>
      <w:r>
        <w:rPr>
          <w:rFonts w:eastAsia="方正仿宋_GBK" w:cs="宋体"/>
          <w:sz w:val="32"/>
          <w:szCs w:val="32"/>
          <w:highlight w:val="auto"/>
        </w:rPr>
        <w:t>，</w:t>
      </w:r>
      <w:r>
        <w:rPr>
          <w:rFonts w:eastAsia="方正仿宋_GBK" w:cs="宋体" w:hint="eastAsia"/>
          <w:sz w:val="32"/>
          <w:szCs w:val="32"/>
          <w:highlight w:val="auto"/>
        </w:rPr>
        <w:t>具有</w:t>
      </w:r>
      <w:r>
        <w:rPr>
          <w:rFonts w:eastAsia="方正仿宋_GBK" w:cs="宋体"/>
          <w:sz w:val="32"/>
          <w:szCs w:val="32"/>
          <w:highlight w:val="auto"/>
        </w:rPr>
        <w:t>中</w:t>
      </w:r>
      <w:r>
        <w:rPr>
          <w:rFonts w:eastAsia="方正仿宋_GBK" w:cs="宋体" w:hint="eastAsia"/>
          <w:sz w:val="32"/>
          <w:szCs w:val="32"/>
          <w:highlight w:val="auto"/>
        </w:rPr>
        <w:t>级</w:t>
      </w:r>
      <w:r>
        <w:rPr>
          <w:rFonts w:eastAsia="方正仿宋_GBK" w:cs="宋体"/>
          <w:sz w:val="32"/>
          <w:szCs w:val="32"/>
          <w:highlight w:val="auto"/>
        </w:rPr>
        <w:t>及以上</w:t>
      </w:r>
      <w:r>
        <w:rPr>
          <w:rFonts w:eastAsia="方正仿宋_GBK" w:cs="宋体" w:hint="eastAsia"/>
          <w:sz w:val="32"/>
          <w:szCs w:val="32"/>
          <w:highlight w:val="auto"/>
        </w:rPr>
        <w:t>职称。</w:t>
      </w:r>
    </w:p>
    <w:p>
      <w:pPr>
        <w:pStyle w:val="51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楷体_GBK" w:eastAsia="方正楷体_GBK" w:hint="eastAsia"/>
          <w:highlight w:val="auto"/>
        </w:rPr>
      </w:pPr>
      <w:bookmarkStart w:id="3" w:name="_Toc53565665"/>
      <w:r>
        <w:rPr>
          <w:rFonts w:ascii="方正楷体_GBK" w:eastAsia="方正楷体_GBK" w:hint="eastAsia"/>
          <w:highlight w:val="auto"/>
        </w:rPr>
        <w:t>（三）</w:t>
      </w:r>
      <w:r>
        <w:rPr>
          <w:rFonts w:ascii="方正楷体_GBK" w:eastAsia="方正楷体_GBK"/>
          <w:highlight w:val="auto"/>
        </w:rPr>
        <w:t>数据采集</w:t>
      </w:r>
      <w:r>
        <w:rPr>
          <w:rFonts w:ascii="方正楷体_GBK" w:eastAsia="方正楷体_GBK" w:hint="eastAsia"/>
          <w:highlight w:val="auto"/>
        </w:rPr>
        <w:t>服务方式要求</w:t>
      </w:r>
      <w:bookmarkEnd w:id="3"/>
      <w:r>
        <w:rPr>
          <w:rFonts w:ascii="方正楷体_GBK" w:eastAsia="方正楷体_GBK" w:hint="eastAsia"/>
          <w:highlight w:val="auto"/>
        </w:rPr>
        <w:t>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  <w:highlight w:val="auto"/>
        </w:rPr>
      </w:pP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1.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服务商需与南宁海关进行充分沟通，清晰了解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数据采集服务的具体需求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，遇到不清楚的问题时，应及时与南宁海关协商解决。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  <w:highlight w:val="auto"/>
        </w:rPr>
      </w:pPr>
      <w:r>
        <w:rPr>
          <w:rFonts w:ascii="Times New Roman" w:eastAsia="方正仿宋_GBK" w:cs="宋体" w:hAnsi="Times New Roman"/>
          <w:sz w:val="32"/>
          <w:szCs w:val="32"/>
          <w:highlight w:val="auto"/>
        </w:rPr>
        <w:t>2.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按照南宁海关要求提交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系统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方案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、企业对接实施指引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等文档，在提交前须经服务商项目负责人审阅，关键文档需加盖公章。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</w:rPr>
      </w:pPr>
      <w:r>
        <w:rPr>
          <w:rFonts w:ascii="Times New Roman" w:eastAsia="方正仿宋_GBK" w:cs="宋体" w:hAnsi="Times New Roman"/>
          <w:sz w:val="32"/>
          <w:szCs w:val="32"/>
          <w:highlight w:val="auto"/>
        </w:rPr>
        <w:t>3.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服务商须保证队伍稳定，经确认的服务团队，未经用户方同意不得更换技术人员；服务商必须遵守南宁海关内部各项规章制度和内部操作规程，履行保密义务，签署保密协议，未经批准不得以任何理由泄露任何保密信息和内部资料；服务团队应具备有利于开展实施工作的工具（包括软件和硬件）。</w:t>
      </w:r>
    </w:p>
    <w:p>
      <w:pPr>
        <w:pStyle w:val="51"/>
        <w:numPr>
          <w:ilvl w:val="0"/>
          <w:numId w:val="0"/>
        </w:numPr>
        <w:spacing w:before="0" w:after="0" w:line="560" w:lineRule="exact"/>
        <w:ind w:left="0" w:firstLineChars="200" w:firstLine="640"/>
        <w:jc w:val="left"/>
        <w:rPr>
          <w:rFonts w:ascii="方正仿宋_GBK" w:eastAsia="方正仿宋_GBK" w:hint="eastAsia"/>
          <w:b w:val="0"/>
          <w:bCs w:val="0"/>
        </w:rPr>
      </w:pPr>
    </w:p>
    <w:sectPr>
      <w:pgSz w:w="11907" w:h="16840"/>
      <w:pgMar w:top="1418" w:right="1418" w:bottom="1134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黑体_GBK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D724DF5F"/>
    <w:multiLevelType w:val="multilevel"/>
    <w:tmpl w:val="1EBEFC9E"/>
    <w:lvl w:ilvl="0">
      <w:start w:val="1"/>
      <w:numFmt w:val="decimal"/>
      <w:lvlRestart w:val="0"/>
      <w:pStyle w:val="47"/>
      <w:lvlText w:val="%1"/>
      <w:lvlJc w:val="left"/>
      <w:pPr>
        <w:ind w:left="432" w:hanging="432"/>
      </w:pPr>
    </w:lvl>
    <w:lvl w:ilvl="1">
      <w:start w:val="1"/>
      <w:numFmt w:val="decimal"/>
      <w:pStyle w:val="85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DF4BA9CC"/>
    <w:multiLevelType w:val="multilevel"/>
    <w:tmpl w:val="DF4BA9CC"/>
    <w:lvl w:ilvl="0">
      <w:start w:val="1"/>
      <w:numFmt w:val="decimal"/>
      <w:lvlRestart w:val="0"/>
      <w:lvlText w:val="%1"/>
      <w:lvlJc w:val="left"/>
      <w:pPr>
        <w:ind w:left="432" w:hanging="432"/>
      </w:pPr>
    </w:lvl>
    <w:lvl w:ilvl="1">
      <w:start w:val="1"/>
      <w:numFmt w:val="decimal"/>
      <w:pStyle w:val="138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09F18D7F"/>
    <w:multiLevelType w:val="multilevel"/>
    <w:tmpl w:val="09F18D7F"/>
    <w:lvl w:ilvl="0">
      <w:start w:val="1"/>
      <w:numFmt w:val="decimal"/>
      <w:lvlRestart w:val="0"/>
      <w:lvlText w:val="%1"/>
      <w:lvlJc w:val="left"/>
      <w:pPr>
        <w:ind w:left="432" w:hanging="432"/>
      </w:pPr>
    </w:lvl>
    <w:lvl w:ilvl="1">
      <w:start w:val="1"/>
      <w:numFmt w:val="decimal"/>
      <w:pStyle w:val="140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toc 1"/>
    <w:basedOn w:val="0"/>
    <w:autoRedefine/>
    <w:next w:val="0"/>
    <w:pPr>
      <w:ind w:firstLineChars="200" w:firstLine="200"/>
    </w:pPr>
  </w:style>
  <w:style w:type="paragraph" w:styleId="17">
    <w:name w:val="toc 6"/>
    <w:basedOn w:val="0"/>
    <w:autoRedefine/>
    <w:next w:val="0"/>
    <w:pPr>
      <w:ind w:left="2100"/>
    </w:pPr>
  </w:style>
  <w:style w:type="paragraph" w:styleId="18">
    <w:name w:val="index 9"/>
    <w:basedOn w:val="0"/>
    <w:autoRedefine/>
    <w:next w:val="0"/>
    <w:pPr>
      <w:ind w:left="3360"/>
    </w:pPr>
  </w:style>
  <w:style w:type="paragraph" w:styleId="19">
    <w:name w:val="Normal (Web)"/>
    <w:basedOn w:val="0"/>
    <w:rPr>
      <w:sz w:val="24"/>
    </w:rPr>
  </w:style>
  <w:style w:type="character" w:styleId="20">
    <w:name w:val="Hyperlink"/>
    <w:basedOn w:val="10"/>
    <w:rPr>
      <w:color w:val="0000FF"/>
      <w:u w:val="single"/>
    </w:rPr>
  </w:style>
  <w:style w:type="paragraph" w:customStyle="1" w:styleId="21">
    <w:name w:val="样式 10 磅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4 10 磅"/>
    <w:next w:val="1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7">
    <w:name w:val="样式 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9">
    <w:name w:val="样式 1 三号"/>
    <w:next w:val="30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30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33">
    <w:name w:val="样式 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4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6">
    <w:name w:val="样式 1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7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9">
    <w:name w:val="样式 1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0">
    <w:name w:val="样式 1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1">
    <w:name w:val="样式 1 二号"/>
    <w:next w:val="17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2">
    <w:name w:val="样式 1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3">
    <w:name w:val="样式 二号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4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">
    <w:name w:val="样式 1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6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">
    <w:name w:val="样式 2 二号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8">
    <w:name w:val="样式 三号"/>
    <w:next w:val="18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49">
    <w:name w:val="样式 2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50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">
    <w:name w:val="样式 3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52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">
    <w:name w:val="样式 2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55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">
    <w:name w:val="样式 2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58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">
    <w:name w:val="样式 4 三号"/>
    <w:pPr>
      <w:widowControl w:val="0"/>
      <w:jc w:val="center"/>
    </w:pPr>
    <w:rPr>
      <w:rFonts w:ascii="方正仿宋_GBK" w:eastAsia="方正仿宋_GBK" w:cs="宋体" w:hAnsi="Times New Roman"/>
      <w:color w:val="000000"/>
      <w:kern w:val="0"/>
      <w:sz w:val="32"/>
      <w:szCs w:val="32"/>
      <w:lang w:val="en-US" w:eastAsia="zh-CN" w:bidi="ar-SA"/>
    </w:rPr>
  </w:style>
  <w:style w:type="paragraph" w:customStyle="1" w:styleId="60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">
    <w:name w:val="样式 5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5">
    <w:name w:val="样式 3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66">
    <w:name w:val="样式 6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7">
    <w:name w:val="样式 7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8">
    <w:name w:val="样式 8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9">
    <w:name w:val="样式 9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0">
    <w:name w:val="样式 10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1">
    <w:name w:val="样式 11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2">
    <w:name w:val="样式 12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3">
    <w:name w:val="样式 13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4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5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6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7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8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9">
    <w:name w:val="样式 3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0">
    <w:name w:val="样式 40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1">
    <w:name w:val="样式 4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2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3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4">
    <w:name w:val="样式 14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85">
    <w:name w:val="样式 15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2">
    <w:name w:val="样式 50 10 磅"/>
    <w:next w:val="73"/>
    <w:rPr>
      <w:rFonts w:ascii="Calibri" w:eastAsia="黑体" w:cs="Times New Roman" w:hAnsi="Calibri"/>
      <w:kern w:val="2"/>
      <w:sz w:val="21"/>
      <w:szCs w:val="21"/>
      <w:lang w:val="en-US" w:eastAsia="zh-CN" w:bidi="ar-SA"/>
    </w:rPr>
  </w:style>
  <w:style w:type="paragraph" w:customStyle="1" w:styleId="93">
    <w:name w:val="样式 5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4">
    <w:name w:val="样式 5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5">
    <w:name w:val="样式 5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6">
    <w:name w:val="样式 5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7">
    <w:name w:val="样式 5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8">
    <w:name w:val="样式 5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9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0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1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2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3">
    <w:name w:val="样式 6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4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5">
    <w:name w:val="样式 6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6">
    <w:name w:val="样式 6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7">
    <w:name w:val="样式 6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8">
    <w:name w:val="样式 6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9">
    <w:name w:val="样式 6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0">
    <w:name w:val="样式 6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1">
    <w:name w:val="样式 6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2">
    <w:name w:val="样式 70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3">
    <w:name w:val="样式 7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4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5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7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8">
    <w:name w:val="样式 7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9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8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2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8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9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5">
    <w:name w:val="样式 9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6">
    <w:name w:val="样式 16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7">
    <w:name w:val="样式 17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8">
    <w:name w:val="样式 18 三号"/>
    <w:pPr>
      <w:keepNext/>
      <w:keepLines/>
      <w:widowControl w:val="0"/>
      <w:numPr>
        <w:ilvl w:val="1"/>
        <w:numId w:val="2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9">
    <w:name w:val="样式 19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0">
    <w:name w:val="样式 20 三号"/>
    <w:pPr>
      <w:keepNext/>
      <w:keepLines/>
      <w:widowControl w:val="0"/>
      <w:numPr>
        <w:ilvl w:val="1"/>
        <w:numId w:val="3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1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3">
    <w:name w:val="样式 9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4">
    <w:name w:val="样式 9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5">
    <w:name w:val="样式 9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6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21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8">
    <w:name w:val="样式 22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0"/>
      <w:w w:val="100"/>
      <w:kern w:val="2"/>
      <w:position w:val="0"/>
      <w:sz w:val="32"/>
      <w:szCs w:val="20"/>
      <w:u w:val="none" w:color="auto"/>
      <w:shd w:val="clear" w:color="auto" w:fill="auto"/>
      <w:vertAlign w:val="baseline"/>
      <w:lang w:val="en-US" w:eastAsia="zh-CN" w:bidi="ar-SA"/>
    </w:rPr>
  </w:style>
  <w:style w:type="paragraph" w:customStyle="1" w:styleId="149">
    <w:name w:val="样式 23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0"/>
      <w:w w:val="100"/>
      <w:kern w:val="2"/>
      <w:position w:val="0"/>
      <w:sz w:val="32"/>
      <w:szCs w:val="20"/>
      <w:u w:val="none" w:color="auto"/>
      <w:shd w:val="clear" w:color="auto" w:fill="auto"/>
      <w:vertAlign w:val="baseli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F8682516-80C8-4A15-9DE3-B4FD0B06EA4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383</TotalTime>
  <Application>Yozo_Office27021597764231179</Application>
  <Pages>2</Pages>
  <Words>0</Words>
  <Characters>525</Characters>
  <Lines>0</Lines>
  <Paragraphs>19</Paragraphs>
  <CharactersWithSpaces>701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姜莉莉</dc:creator>
  <cp:lastModifiedBy>杨薇</cp:lastModifiedBy>
  <cp:revision>1</cp:revision>
  <cp:lastPrinted>2025-12-09T01:00:38Z</cp:lastPrinted>
  <dcterms:created xsi:type="dcterms:W3CDTF">2021-03-09T09:40:00Z</dcterms:created>
  <dcterms:modified xsi:type="dcterms:W3CDTF">2025-12-15T09:56:34Z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2052-12.1.2.22570</vt:lpwstr>
  </property>
  <property fmtid="{D5CDD505-2E9C-101B-9397-08002B2CF9AE}" pid="3" name="ICV">
    <vt:lpwstr>BCA370E8E5F64A080C553169EA9DAAFE_43</vt:lpwstr>
  </property>
</Properties>
</file>