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color w:val="000000"/>
          <w:sz w:val="32"/>
          <w:szCs w:val="32"/>
        </w:rPr>
      </w:pPr>
      <w:bookmarkStart w:id="0" w:name="_GoBack"/>
      <w:bookmarkEnd w:id="0"/>
      <w:r>
        <w:rPr>
          <w:rFonts w:eastAsia="方正小标宋_GBK"/>
          <w:bCs/>
          <w:color w:val="000000"/>
          <w:sz w:val="32"/>
          <w:szCs w:val="32"/>
        </w:rPr>
        <w:t>评</w:t>
      </w:r>
      <w:r>
        <w:rPr>
          <w:rFonts w:eastAsia="方正小标宋_GBK" w:hint="eastAsia"/>
          <w:bCs/>
          <w:color w:val="000000"/>
          <w:sz w:val="32"/>
          <w:szCs w:val="32"/>
        </w:rPr>
        <w:t>审</w:t>
      </w:r>
      <w:r>
        <w:rPr>
          <w:rFonts w:eastAsia="方正小标宋_GBK"/>
          <w:bCs/>
          <w:color w:val="000000"/>
          <w:sz w:val="32"/>
          <w:szCs w:val="32"/>
        </w:rPr>
        <w:t>办法</w:t>
      </w:r>
    </w:p>
    <w:p>
      <w:pPr>
        <w:spacing w:line="540" w:lineRule="exact"/>
        <w:jc w:val="center"/>
        <w:rPr>
          <w:rFonts w:ascii="方正小标宋_GBK" w:eastAsia="方正小标宋_GBK"/>
          <w:bCs/>
          <w:color w:val="000000"/>
          <w:sz w:val="28"/>
          <w:szCs w:val="28"/>
        </w:rPr>
      </w:pPr>
      <w:r>
        <w:rPr>
          <w:rFonts w:ascii="方正小标宋_GBK" w:eastAsia="方正小标宋_GBK" w:hint="eastAsia"/>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ascii="方正黑体_GBK" w:eastAsia="方正黑体_GBK" w:hint="eastAsia"/>
          <w:b/>
          <w:color w:val="000000"/>
          <w:sz w:val="28"/>
          <w:szCs w:val="28"/>
        </w:rPr>
        <w:t>响应文件送达及密封检查</w:t>
      </w:r>
    </w:p>
    <w:p>
      <w:pPr>
        <w:spacing w:line="480" w:lineRule="exact"/>
        <w:ind w:firstLineChars="200" w:firstLine="560"/>
        <w:rPr>
          <w:rFonts w:ascii="方正楷体_GBK" w:eastAsia="方正楷体_GBK"/>
          <w:b/>
          <w:color w:val="000000"/>
          <w:sz w:val="28"/>
          <w:szCs w:val="28"/>
        </w:rPr>
      </w:pPr>
      <w:r>
        <w:rPr>
          <w:rFonts w:ascii="方正楷体_GBK" w:eastAsia="方正楷体_GBK"/>
          <w:b/>
          <w:color w:val="000000"/>
          <w:sz w:val="28"/>
          <w:szCs w:val="28"/>
        </w:rPr>
        <w:t>（一）</w:t>
      </w:r>
      <w:r>
        <w:rPr>
          <w:rFonts w:ascii="方正楷体_GBK" w:eastAsia="方正楷体_GBK" w:hint="eastAsia"/>
          <w:b/>
          <w:color w:val="000000"/>
          <w:sz w:val="28"/>
          <w:szCs w:val="28"/>
        </w:rPr>
        <w:t>查看响应文件送达时间：</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在《采购公告》规定的</w:t>
      </w:r>
      <w:r>
        <w:rPr>
          <w:rFonts w:eastAsia="方正仿宋_GBK"/>
          <w:color w:val="000000"/>
          <w:sz w:val="28"/>
          <w:szCs w:val="28"/>
        </w:rPr>
        <w:t>报价截止时间之前将响应文件送达</w:t>
      </w:r>
      <w:r>
        <w:rPr>
          <w:rFonts w:eastAsia="方正仿宋_GBK" w:hint="eastAsia"/>
          <w:color w:val="000000"/>
          <w:sz w:val="28"/>
          <w:szCs w:val="28"/>
        </w:rPr>
        <w:t>。</w:t>
      </w:r>
    </w:p>
    <w:p>
      <w:pPr>
        <w:spacing w:line="480" w:lineRule="exact"/>
        <w:ind w:left="640"/>
        <w:rPr>
          <w:rFonts w:eastAsia="方正仿宋_GBK"/>
          <w:color w:val="000000"/>
          <w:sz w:val="28"/>
          <w:szCs w:val="28"/>
        </w:rPr>
      </w:pPr>
      <w:r>
        <w:rPr>
          <w:rFonts w:ascii="方正楷体_GBK" w:eastAsia="方正楷体_GBK"/>
          <w:b/>
          <w:color w:val="000000"/>
          <w:sz w:val="28"/>
          <w:szCs w:val="28"/>
        </w:rPr>
        <w:t>（</w:t>
      </w:r>
      <w:r>
        <w:rPr>
          <w:rFonts w:ascii="方正楷体_GBK" w:eastAsia="方正楷体_GBK" w:hint="eastAsia"/>
          <w:b/>
          <w:color w:val="000000"/>
          <w:sz w:val="28"/>
          <w:szCs w:val="28"/>
        </w:rPr>
        <w:t>二</w:t>
      </w:r>
      <w:r>
        <w:rPr>
          <w:rFonts w:ascii="方正楷体_GBK" w:eastAsia="方正楷体_GBK"/>
          <w:b/>
          <w:color w:val="000000"/>
          <w:sz w:val="28"/>
          <w:szCs w:val="28"/>
        </w:rPr>
        <w:t>）响应文件包装密封要求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供应商</w:t>
      </w:r>
      <w:r>
        <w:rPr>
          <w:rFonts w:eastAsia="方正仿宋_GBK"/>
          <w:color w:val="000000"/>
          <w:sz w:val="28"/>
          <w:szCs w:val="28"/>
        </w:rPr>
        <w:t>应将所有响应文件装在一个密封袋内，</w:t>
      </w:r>
      <w:r>
        <w:rPr>
          <w:rFonts w:eastAsia="方正仿宋_GBK" w:hint="eastAsia"/>
          <w:color w:val="000000"/>
          <w:sz w:val="28"/>
          <w:szCs w:val="28"/>
        </w:rPr>
        <w:t>响应文件</w:t>
      </w:r>
      <w:r>
        <w:rPr>
          <w:rFonts w:eastAsia="方正仿宋_GBK"/>
          <w:color w:val="000000"/>
          <w:sz w:val="28"/>
          <w:szCs w:val="28"/>
        </w:rPr>
        <w:t>密封袋的封口处应加贴封条并加盖</w:t>
      </w:r>
      <w:r>
        <w:rPr>
          <w:rFonts w:eastAsia="方正仿宋_GBK" w:hint="eastAsia"/>
          <w:color w:val="000000"/>
          <w:sz w:val="28"/>
          <w:szCs w:val="28"/>
        </w:rPr>
        <w:t>供应商</w:t>
      </w:r>
      <w:r>
        <w:rPr>
          <w:rFonts w:eastAsia="方正仿宋_GBK"/>
          <w:color w:val="000000"/>
          <w:sz w:val="28"/>
          <w:szCs w:val="28"/>
        </w:rPr>
        <w:t>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w:t>
      </w:r>
      <w:r>
        <w:rPr>
          <w:rFonts w:eastAsia="方正黑体_GBK" w:hint="eastAsia"/>
          <w:color w:val="000000"/>
          <w:sz w:val="28"/>
          <w:szCs w:val="28"/>
        </w:rPr>
        <w:t>格审查</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具备《采购公告》中企业资质，通过审查不足3家的应废标，采购人</w:t>
      </w:r>
      <w:r>
        <w:rPr>
          <w:rFonts w:eastAsia="方正仿宋_GBK"/>
          <w:color w:val="000000"/>
          <w:sz w:val="28"/>
          <w:szCs w:val="28"/>
        </w:rPr>
        <w:t>重新组织</w:t>
      </w:r>
      <w:r>
        <w:rPr>
          <w:rFonts w:eastAsia="方正仿宋_GBK" w:hint="eastAsia"/>
          <w:color w:val="000000"/>
          <w:sz w:val="28"/>
          <w:szCs w:val="28"/>
        </w:rPr>
        <w:t>采购</w:t>
      </w:r>
      <w:r>
        <w:rPr>
          <w:rFonts w:eastAsia="方正仿宋_GBK"/>
          <w:color w:val="000000"/>
          <w:sz w:val="28"/>
          <w:szCs w:val="28"/>
        </w:rPr>
        <w:t>。</w:t>
      </w:r>
    </w:p>
    <w:p>
      <w:pPr>
        <w:spacing w:line="480" w:lineRule="exact"/>
        <w:ind w:left="64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640"/>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7.服务方案（格式自拟，必须提供）；</w:t>
      </w:r>
    </w:p>
    <w:p>
      <w:pPr>
        <w:spacing w:line="480" w:lineRule="exact"/>
        <w:ind w:leftChars="-1" w:left="-2" w:firstLineChars="221" w:firstLine="619"/>
        <w:rPr>
          <w:rFonts w:eastAsia="方正仿宋_GBK"/>
          <w:sz w:val="28"/>
          <w:szCs w:val="28"/>
        </w:rPr>
      </w:pPr>
      <w:r>
        <w:rPr>
          <w:rFonts w:eastAsia="方正仿宋_GBK"/>
          <w:sz w:val="28"/>
          <w:szCs w:val="28"/>
        </w:rPr>
        <w:t>8.近三年同类工作相关业绩（中标通知书或合同关键页复印件并加盖公章）；</w:t>
      </w:r>
    </w:p>
    <w:p>
      <w:pPr>
        <w:spacing w:line="480" w:lineRule="exact"/>
        <w:ind w:leftChars="-1" w:left="-2" w:firstLineChars="221" w:firstLine="619"/>
        <w:rPr>
          <w:rFonts w:ascii="方正仿宋_GBK" w:eastAsia="方正仿宋_GBK"/>
          <w:sz w:val="28"/>
          <w:szCs w:val="28"/>
        </w:rPr>
      </w:pPr>
      <w:r>
        <w:rPr>
          <w:rFonts w:eastAsia="方正仿宋_GBK"/>
          <w:sz w:val="28"/>
          <w:szCs w:val="28"/>
        </w:rPr>
        <w:t>9</w:t>
      </w:r>
      <w:r>
        <w:rPr>
          <w:rFonts w:eastAsia="方正仿宋_GBK" w:hint="eastAsia"/>
          <w:sz w:val="28"/>
          <w:szCs w:val="28"/>
        </w:rPr>
        <w:t>.</w:t>
      </w:r>
      <w:r>
        <w:rPr>
          <w:rFonts w:eastAsia="方正仿宋_GBK"/>
          <w:sz w:val="28"/>
          <w:szCs w:val="28"/>
        </w:rPr>
        <w:t>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28" w:firstLine="638"/>
        <w:rPr>
          <w:rFonts w:ascii="方正黑体_GBK" w:eastAsia="方正黑体_GBK"/>
          <w:strike/>
          <w:dstrike w:val="0"/>
          <w:color w:val="FF000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color w:val="000000"/>
          <w:sz w:val="28"/>
          <w:szCs w:val="28"/>
        </w:rPr>
        <w:t>属于报价无效情形的，不予澄清。</w:t>
      </w:r>
    </w:p>
    <w:p>
      <w:pPr>
        <w:snapToGrid w:val="0"/>
        <w:spacing w:line="480" w:lineRule="exact"/>
        <w:ind w:firstLineChars="196" w:firstLine="549"/>
        <w:jc w:val="left"/>
        <w:rPr>
          <w:rFonts w:ascii="仿宋_GB2312" w:eastAsia="仿宋_GB2312" w:cs="Courier New"/>
          <w:b/>
          <w:color w:val="000000"/>
          <w:sz w:val="28"/>
          <w:szCs w:val="28"/>
        </w:rPr>
      </w:pPr>
      <w:r>
        <w:rPr>
          <w:rFonts w:ascii="仿宋_GB2312" w:eastAsia="仿宋_GB2312" w:cs="Courier New" w:hint="eastAsia"/>
          <w:b/>
          <w:color w:val="000000"/>
          <w:sz w:val="28"/>
          <w:szCs w:val="28"/>
        </w:rPr>
        <w:t>（一）评审方法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1.对进入详评的，采用百分制综合评分法。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2.计分办法（按四舍五入取至小数点后两位）。</w:t>
      </w:r>
    </w:p>
    <w:p>
      <w:pPr>
        <w:spacing w:line="480" w:lineRule="exact"/>
        <w:ind w:firstLineChars="200" w:firstLine="560"/>
        <w:rPr>
          <w:rFonts w:ascii="仿宋_GB2312" w:eastAsia="仿宋_GB2312" w:cs="Courier New"/>
          <w:b/>
          <w:sz w:val="28"/>
          <w:szCs w:val="28"/>
        </w:rPr>
      </w:pPr>
      <w:r>
        <w:rPr>
          <w:rFonts w:ascii="仿宋_GB2312" w:eastAsia="仿宋_GB2312" w:cs="Courier New" w:hint="eastAsia"/>
          <w:b/>
          <w:sz w:val="28"/>
          <w:szCs w:val="28"/>
        </w:rPr>
        <w:t>（二）评分标准</w:t>
      </w:r>
    </w:p>
    <w:tbl>
      <w:tblPr>
        <w:jc w:val="center"/>
        <w:tblW w:w="8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485"/>
        <w:gridCol w:w="1121"/>
        <w:gridCol w:w="1260"/>
        <w:gridCol w:w="6131"/>
      </w:tblGrid>
      <w:tr>
        <w:trPr>
          <w:trHeight w:val="608"/>
        </w:trPr>
        <w:tc>
          <w:tcPr>
            <w:tcW w:w="485" w:type="dxa"/>
            <w:vAlign w:val="center"/>
          </w:tcPr>
          <w:p>
            <w:pPr>
              <w:jc w:val="center"/>
              <w:rPr>
                <w:rFonts w:ascii="宋体" w:cs="Arial"/>
                <w:b/>
                <w:sz w:val="24"/>
                <w:szCs w:val="24"/>
              </w:rPr>
            </w:pPr>
            <w:r>
              <w:rPr>
                <w:rFonts w:ascii="宋体" w:cs="Arial" w:hint="eastAsia"/>
                <w:b/>
                <w:sz w:val="24"/>
                <w:szCs w:val="24"/>
              </w:rPr>
              <w:t>序号</w:t>
            </w:r>
          </w:p>
        </w:tc>
        <w:tc>
          <w:tcPr>
            <w:tcW w:w="2381" w:type="dxa"/>
            <w:gridSpan w:val="2"/>
            <w:vAlign w:val="center"/>
          </w:tcPr>
          <w:p>
            <w:pPr>
              <w:jc w:val="center"/>
              <w:rPr>
                <w:rFonts w:ascii="宋体" w:cs="Arial"/>
                <w:b/>
                <w:sz w:val="24"/>
                <w:szCs w:val="24"/>
              </w:rPr>
            </w:pPr>
            <w:r>
              <w:rPr>
                <w:rFonts w:ascii="宋体" w:cs="Arial" w:hint="eastAsia"/>
                <w:b/>
                <w:sz w:val="24"/>
                <w:szCs w:val="24"/>
              </w:rPr>
              <w:t>评</w:t>
            </w:r>
            <w:r>
              <w:rPr>
                <w:rFonts w:ascii="宋体" w:cs="Arial"/>
                <w:b/>
                <w:sz w:val="24"/>
                <w:szCs w:val="24"/>
              </w:rPr>
              <w:t>分项</w:t>
            </w:r>
          </w:p>
        </w:tc>
        <w:tc>
          <w:tcPr>
            <w:tcW w:w="6131" w:type="dxa"/>
            <w:vAlign w:val="center"/>
          </w:tcPr>
          <w:p>
            <w:pPr>
              <w:jc w:val="center"/>
              <w:rPr>
                <w:rFonts w:ascii="宋体" w:cs="Arial"/>
                <w:b/>
                <w:sz w:val="24"/>
                <w:szCs w:val="24"/>
              </w:rPr>
            </w:pPr>
            <w:r>
              <w:rPr>
                <w:rFonts w:ascii="宋体" w:cs="Arial" w:hint="eastAsia"/>
                <w:b/>
                <w:sz w:val="24"/>
                <w:szCs w:val="24"/>
              </w:rPr>
              <w:t>评分标准</w:t>
            </w:r>
          </w:p>
        </w:tc>
      </w:tr>
      <w:tr>
        <w:trPr>
          <w:trHeight w:val="1405"/>
        </w:trPr>
        <w:tc>
          <w:tcPr>
            <w:tcW w:w="485" w:type="dxa"/>
            <w:vAlign w:val="center"/>
          </w:tcPr>
          <w:p>
            <w:pPr>
              <w:spacing w:line="400" w:lineRule="exact"/>
              <w:jc w:val="center"/>
              <w:rPr>
                <w:rFonts w:ascii="宋体" w:eastAsia="宋体" w:cs="Arial"/>
                <w:sz w:val="24"/>
                <w:szCs w:val="24"/>
              </w:rPr>
            </w:pPr>
            <w:r>
              <w:rPr>
                <w:rFonts w:ascii="宋体" w:eastAsia="宋体" w:cs="Arial" w:hint="eastAsia"/>
                <w:sz w:val="24"/>
                <w:szCs w:val="24"/>
              </w:rPr>
              <w:t>1</w:t>
            </w:r>
          </w:p>
        </w:tc>
        <w:tc>
          <w:tcPr>
            <w:tcW w:w="2381" w:type="dxa"/>
            <w:gridSpan w:val="2"/>
            <w:vAlign w:val="center"/>
          </w:tcPr>
          <w:p>
            <w:pPr>
              <w:spacing w:line="400" w:lineRule="exact"/>
              <w:jc w:val="center"/>
              <w:rPr>
                <w:rFonts w:eastAsia="方正仿宋_GBK" w:cs="宋体"/>
                <w:b/>
                <w:bCs/>
                <w:sz w:val="24"/>
              </w:rPr>
            </w:pPr>
            <w:r>
              <w:rPr>
                <w:rFonts w:eastAsia="方正仿宋_GBK" w:cs="宋体" w:hint="eastAsia"/>
                <w:b/>
                <w:bCs/>
                <w:sz w:val="24"/>
              </w:rPr>
              <w:t>价格</w:t>
            </w:r>
            <w:r>
              <w:rPr>
                <w:rFonts w:eastAsia="方正仿宋_GBK" w:cs="宋体"/>
                <w:b/>
                <w:bCs/>
                <w:sz w:val="24"/>
              </w:rPr>
              <w:t>分</w:t>
            </w:r>
          </w:p>
          <w:p>
            <w:pPr>
              <w:spacing w:line="400" w:lineRule="exact"/>
              <w:ind w:firstLineChars="50" w:firstLine="120"/>
              <w:jc w:val="center"/>
              <w:rPr>
                <w:rFonts w:ascii="宋体" w:eastAsia="宋体" w:cs="Arial"/>
                <w:sz w:val="24"/>
                <w:szCs w:val="24"/>
              </w:rPr>
            </w:pPr>
            <w:r>
              <w:rPr>
                <w:rFonts w:ascii="宋体" w:eastAsia="宋体" w:cs="Arial" w:hint="eastAsia"/>
                <w:b/>
                <w:bCs/>
                <w:sz w:val="24"/>
                <w:szCs w:val="24"/>
              </w:rPr>
              <w:t>（</w:t>
            </w:r>
            <w:r>
              <w:rPr>
                <w:rFonts w:ascii="宋体" w:eastAsia="宋体" w:cs="Arial"/>
                <w:b/>
                <w:bCs/>
                <w:sz w:val="24"/>
                <w:szCs w:val="24"/>
              </w:rPr>
              <w:t>3</w:t>
            </w:r>
            <w:r>
              <w:rPr>
                <w:rFonts w:ascii="宋体" w:eastAsia="宋体" w:cs="Arial" w:hint="eastAsia"/>
                <w:b/>
                <w:bCs/>
                <w:sz w:val="24"/>
                <w:szCs w:val="24"/>
              </w:rPr>
              <w:t>0分）</w:t>
            </w:r>
          </w:p>
        </w:tc>
        <w:tc>
          <w:tcPr>
            <w:tcW w:w="6131" w:type="dxa"/>
            <w:vAlign w:val="center"/>
          </w:tcPr>
          <w:p>
            <w:pPr>
              <w:spacing w:line="400" w:lineRule="exact"/>
              <w:rPr>
                <w:rFonts w:ascii="宋体" w:eastAsia="宋体" w:cs="宋体" w:hint="eastAsia"/>
                <w:color w:val="000000"/>
                <w:kern w:val="0"/>
                <w:sz w:val="24"/>
                <w:szCs w:val="24"/>
              </w:rPr>
            </w:pPr>
            <w:r>
              <w:rPr>
                <w:rFonts w:ascii="宋体" w:eastAsia="宋体" w:cs="宋体"/>
                <w:color w:val="000000"/>
                <w:kern w:val="0"/>
                <w:sz w:val="24"/>
                <w:szCs w:val="24"/>
              </w:rPr>
              <w:t>根据供应商提供的同类产品报价进行综合评定。</w:t>
            </w:r>
          </w:p>
          <w:p>
            <w:pPr>
              <w:spacing w:line="400" w:lineRule="exact"/>
              <w:rPr>
                <w:rFonts w:ascii="宋体" w:eastAsia="宋体" w:cs="Arial"/>
                <w:sz w:val="24"/>
                <w:szCs w:val="24"/>
              </w:rPr>
            </w:pPr>
            <w:r>
              <w:rPr>
                <w:rFonts w:ascii="宋体" w:eastAsia="宋体" w:cs="Arial"/>
                <w:sz w:val="24"/>
                <w:szCs w:val="24"/>
              </w:rPr>
              <w:t>分一档（21-30分）、二档（11-20分）、三档（10分以下）进行评分。</w:t>
            </w:r>
          </w:p>
        </w:tc>
      </w:tr>
      <w:tr>
        <w:trPr>
          <w:trHeight w:val="1589"/>
        </w:trPr>
        <w:tc>
          <w:tcPr>
            <w:tcW w:w="485" w:type="dxa"/>
            <w:vMerge w:val="restart"/>
            <w:vAlign w:val="center"/>
          </w:tcPr>
          <w:p>
            <w:pPr>
              <w:spacing w:line="400" w:lineRule="exact"/>
              <w:jc w:val="center"/>
              <w:rPr>
                <w:rFonts w:ascii="宋体" w:eastAsia="宋体" w:cs="Arial"/>
                <w:sz w:val="24"/>
                <w:szCs w:val="24"/>
              </w:rPr>
            </w:pPr>
            <w:r>
              <w:rPr>
                <w:rFonts w:ascii="宋体" w:eastAsia="宋体" w:cs="Arial" w:hint="eastAsia"/>
                <w:sz w:val="24"/>
                <w:szCs w:val="24"/>
              </w:rPr>
              <w:t>2</w:t>
            </w:r>
          </w:p>
        </w:tc>
        <w:tc>
          <w:tcPr>
            <w:tcW w:w="1121" w:type="dxa"/>
            <w:vMerge w:val="restart"/>
            <w:vAlign w:val="center"/>
          </w:tcPr>
          <w:p>
            <w:pPr>
              <w:spacing w:line="400" w:lineRule="exact"/>
              <w:jc w:val="center"/>
              <w:rPr>
                <w:rFonts w:eastAsia="方正仿宋_GBK" w:cs="宋体"/>
                <w:b/>
                <w:bCs/>
                <w:sz w:val="24"/>
              </w:rPr>
            </w:pPr>
            <w:r>
              <w:rPr>
                <w:rFonts w:eastAsia="方正仿宋_GBK" w:cs="宋体"/>
                <w:b/>
                <w:bCs/>
                <w:sz w:val="24"/>
              </w:rPr>
              <w:t>技术分</w:t>
            </w:r>
          </w:p>
          <w:p>
            <w:pPr>
              <w:spacing w:line="400" w:lineRule="exact"/>
              <w:jc w:val="center"/>
              <w:rPr>
                <w:rFonts w:eastAsia="方正仿宋_GBK" w:cs="宋体"/>
                <w:b/>
                <w:bCs/>
                <w:sz w:val="24"/>
              </w:rPr>
            </w:pPr>
            <w:r>
              <w:rPr>
                <w:rFonts w:eastAsia="方正仿宋_GBK" w:cs="宋体"/>
                <w:b/>
                <w:bCs/>
                <w:sz w:val="24"/>
              </w:rPr>
              <w:t>（60分）</w:t>
            </w:r>
          </w:p>
        </w:tc>
        <w:tc>
          <w:tcPr>
            <w:tcW w:w="1260" w:type="dxa"/>
            <w:vAlign w:val="center"/>
          </w:tcPr>
          <w:p>
            <w:pPr>
              <w:spacing w:line="400" w:lineRule="exact"/>
              <w:jc w:val="center"/>
              <w:rPr>
                <w:rFonts w:eastAsia="方正仿宋_GBK" w:cs="宋体"/>
                <w:b/>
                <w:bCs/>
                <w:sz w:val="24"/>
              </w:rPr>
            </w:pPr>
            <w:r>
              <w:rPr>
                <w:rFonts w:eastAsia="方正仿宋_GBK" w:cs="宋体"/>
                <w:b/>
                <w:bCs/>
                <w:sz w:val="24"/>
              </w:rPr>
              <w:t>设计服务</w:t>
            </w:r>
          </w:p>
          <w:p>
            <w:pPr>
              <w:spacing w:line="400" w:lineRule="exact"/>
              <w:jc w:val="center"/>
              <w:rPr>
                <w:rFonts w:ascii="宋体" w:eastAsia="宋体" w:cs="宋体"/>
                <w:b/>
                <w:bCs/>
                <w:sz w:val="24"/>
                <w:szCs w:val="24"/>
              </w:rPr>
            </w:pPr>
            <w:r>
              <w:rPr>
                <w:rFonts w:ascii="宋体" w:eastAsia="宋体" w:cs="Arial" w:hint="eastAsia"/>
                <w:b/>
                <w:bCs/>
                <w:sz w:val="24"/>
                <w:szCs w:val="24"/>
              </w:rPr>
              <w:t>（</w:t>
            </w:r>
            <w:r>
              <w:rPr>
                <w:rFonts w:ascii="宋体" w:eastAsia="宋体" w:cs="Arial"/>
                <w:b/>
                <w:bCs/>
                <w:sz w:val="24"/>
                <w:szCs w:val="24"/>
              </w:rPr>
              <w:t>20</w:t>
            </w:r>
            <w:r>
              <w:rPr>
                <w:rFonts w:ascii="宋体" w:eastAsia="宋体" w:cs="Arial" w:hint="eastAsia"/>
                <w:b/>
                <w:bCs/>
                <w:sz w:val="24"/>
                <w:szCs w:val="24"/>
              </w:rPr>
              <w:t>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未提供相关内容或提供的内容与本项目不相符得0分。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根据供应商设计服务方案对设计技术水平、响应效率、服务团队以及整体有效性针对性等进行综合评定。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分一档（14-20分）、二档（7-13分）、三档（6分以下）进行评分。</w:t>
            </w:r>
          </w:p>
        </w:tc>
      </w:tr>
      <w:tr>
        <w:trPr>
          <w:trHeight w:val="1372"/>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eastAsia="方正仿宋_GBK" w:cs="宋体"/>
                <w:b/>
                <w:bCs/>
                <w:sz w:val="24"/>
              </w:rPr>
            </w:pPr>
            <w:r>
              <w:rPr>
                <w:rFonts w:eastAsia="方正仿宋_GBK" w:cs="宋体"/>
                <w:b/>
                <w:bCs/>
                <w:sz w:val="24"/>
              </w:rPr>
              <w:t>配送安装服务</w:t>
            </w:r>
          </w:p>
          <w:p>
            <w:pPr>
              <w:spacing w:line="400" w:lineRule="exact"/>
              <w:jc w:val="center"/>
              <w:rPr>
                <w:rFonts w:eastAsia="方正仿宋_GBK" w:cs="宋体"/>
                <w:b/>
                <w:bCs/>
                <w:sz w:val="24"/>
              </w:rPr>
            </w:pPr>
            <w:r>
              <w:rPr>
                <w:rFonts w:eastAsia="方正仿宋_GBK" w:cs="宋体"/>
                <w:b/>
                <w:bCs/>
                <w:sz w:val="24"/>
              </w:rPr>
              <w:t>（20分）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未提供相关内容或提供的内容与本项目不相符得0分。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根据供应商配送安装服务方案对响应效率、安装能力、服务团队以及整体有效性针对性等进行综合评定。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分一档（14-20分）、二档（7-13分）、三档（6分以下）进行评分。</w:t>
            </w:r>
          </w:p>
        </w:tc>
      </w:tr>
      <w:tr>
        <w:trPr>
          <w:trHeight w:val="1589"/>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eastAsia="方正仿宋_GBK" w:cs="宋体"/>
                <w:b/>
                <w:bCs/>
                <w:sz w:val="24"/>
                <w:bdr w:val="none" w:sz="0" w:space="0" w:color="auto"/>
              </w:rPr>
            </w:pPr>
            <w:r>
              <w:rPr>
                <w:rFonts w:eastAsia="方正仿宋_GBK" w:cs="宋体"/>
                <w:b/>
                <w:bCs/>
                <w:sz w:val="24"/>
                <w:bdr w:val="none" w:sz="0" w:space="0" w:color="auto"/>
              </w:rPr>
              <w:t>售后服务方案</w:t>
            </w:r>
          </w:p>
          <w:p>
            <w:pPr>
              <w:spacing w:line="400" w:lineRule="exact"/>
              <w:jc w:val="center"/>
              <w:rPr>
                <w:rFonts w:eastAsia="方正仿宋_GBK" w:cs="宋体"/>
                <w:b/>
                <w:bCs/>
                <w:sz w:val="24"/>
              </w:rPr>
            </w:pPr>
            <w:r>
              <w:rPr>
                <w:rFonts w:eastAsia="方正仿宋_GBK" w:cs="宋体" w:hint="eastAsia"/>
                <w:b/>
                <w:bCs/>
                <w:sz w:val="24"/>
                <w:bdr w:val="none" w:sz="0" w:space="0" w:color="auto"/>
              </w:rPr>
              <w:t>（</w:t>
            </w:r>
            <w:r>
              <w:rPr>
                <w:rFonts w:eastAsia="方正仿宋_GBK" w:cs="宋体"/>
                <w:b/>
                <w:bCs/>
                <w:sz w:val="24"/>
                <w:bdr w:val="none" w:sz="0" w:space="0" w:color="auto"/>
              </w:rPr>
              <w:t>20</w:t>
            </w:r>
            <w:r>
              <w:rPr>
                <w:rFonts w:eastAsia="方正仿宋_GBK" w:cs="宋体" w:hint="eastAsia"/>
                <w:b/>
                <w:bCs/>
                <w:sz w:val="24"/>
                <w:bdr w:val="none" w:sz="0" w:space="0" w:color="auto"/>
              </w:rPr>
              <w:t>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未提供相关内容或提供的内容与本项目不相符得0分。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根据供应商售后服务方案对质量保障、时限承诺、处理流程、服务团队以及整体有效性针对性等进行综合评定。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分一档（14-20分）、二档（7-13分）、三档（6分以下）进行评分。</w:t>
            </w:r>
          </w:p>
        </w:tc>
      </w:tr>
      <w:tr>
        <w:trPr>
          <w:trHeight w:val="444"/>
        </w:trPr>
        <w:tc>
          <w:tcPr>
            <w:tcW w:w="485" w:type="dxa"/>
            <w:vAlign w:val="center"/>
          </w:tcPr>
          <w:p>
            <w:pPr>
              <w:spacing w:line="400" w:lineRule="exact"/>
              <w:jc w:val="center"/>
              <w:rPr>
                <w:rFonts w:ascii="宋体" w:eastAsia="宋体" w:cs="Arial"/>
                <w:sz w:val="24"/>
                <w:szCs w:val="24"/>
              </w:rPr>
            </w:pPr>
            <w:r>
              <w:rPr>
                <w:rFonts w:ascii="宋体" w:eastAsia="宋体" w:cs="Arial"/>
                <w:sz w:val="24"/>
                <w:szCs w:val="24"/>
              </w:rPr>
              <w:t>3</w:t>
            </w:r>
          </w:p>
        </w:tc>
        <w:tc>
          <w:tcPr>
            <w:tcW w:w="2381" w:type="dxa"/>
            <w:gridSpan w:val="2"/>
            <w:tcBorders>
              <w:left w:val="single" w:sz="4" w:space="0" w:color="auto"/>
            </w:tcBorders>
            <w:vAlign w:val="center"/>
          </w:tcPr>
          <w:p>
            <w:pPr>
              <w:spacing w:line="400" w:lineRule="exact"/>
              <w:jc w:val="center"/>
              <w:rPr>
                <w:rFonts w:ascii="宋体" w:eastAsia="宋体" w:cs="宋体"/>
                <w:b/>
                <w:bCs/>
                <w:sz w:val="24"/>
                <w:szCs w:val="24"/>
              </w:rPr>
            </w:pPr>
            <w:r>
              <w:rPr>
                <w:rFonts w:eastAsia="方正仿宋_GBK" w:cs="宋体"/>
                <w:b/>
                <w:bCs/>
                <w:sz w:val="24"/>
              </w:rPr>
              <w:t>商务分</w:t>
            </w:r>
            <w:r>
              <w:rPr>
                <w:rFonts w:ascii="宋体" w:eastAsia="宋体" w:cs="宋体" w:hint="eastAsia"/>
                <w:b/>
                <w:bCs/>
                <w:sz w:val="24"/>
                <w:szCs w:val="24"/>
              </w:rPr>
              <w:t>（</w:t>
            </w:r>
            <w:r>
              <w:rPr>
                <w:rFonts w:ascii="宋体" w:eastAsia="宋体" w:cs="宋体"/>
                <w:b/>
                <w:bCs/>
                <w:sz w:val="24"/>
                <w:szCs w:val="24"/>
              </w:rPr>
              <w:t>10</w:t>
            </w:r>
            <w:r>
              <w:rPr>
                <w:rFonts w:ascii="宋体" w:eastAsia="宋体" w:cs="宋体" w:hint="eastAsia"/>
                <w:b/>
                <w:bCs/>
                <w:sz w:val="24"/>
                <w:szCs w:val="24"/>
              </w:rPr>
              <w:t>分）</w:t>
            </w:r>
          </w:p>
        </w:tc>
        <w:tc>
          <w:tcPr>
            <w:tcW w:w="6131" w:type="dxa"/>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供应商自2023年1月1日至今承接有类似业绩，每个业绩得5分，满分10分。（提供有效合同关键页复印件或中标/成交通知书复印件并加盖供应商公章，否则不予计分）</w:t>
            </w:r>
            <w:r>
              <w:rPr>
                <w:rFonts w:ascii="宋体" w:eastAsia="宋体" w:cs="宋体" w:hint="eastAsia"/>
                <w:color w:val="000000"/>
                <w:kern w:val="0"/>
                <w:sz w:val="24"/>
                <w:szCs w:val="24"/>
              </w:rPr>
              <w:t>。</w:t>
            </w:r>
          </w:p>
        </w:tc>
      </w:tr>
    </w:tbl>
    <w:p>
      <w:pPr>
        <w:snapToGrid w:val="0"/>
        <w:spacing w:line="480" w:lineRule="exact"/>
        <w:ind w:firstLineChars="196" w:firstLine="549"/>
        <w:jc w:val="left"/>
        <w:rPr>
          <w:rFonts w:ascii="仿宋_GB2312" w:eastAsia="仿宋_GB2312" w:cs="Courier New"/>
          <w:b/>
          <w:sz w:val="28"/>
          <w:szCs w:val="28"/>
        </w:rPr>
      </w:pPr>
      <w:r>
        <w:rPr>
          <w:rFonts w:ascii="仿宋_GB2312" w:eastAsia="仿宋_GB2312" w:cs="Courier New" w:hint="eastAsia"/>
          <w:b/>
          <w:sz w:val="28"/>
          <w:szCs w:val="28"/>
        </w:rPr>
        <w:t>（三）成交候选人确定/推荐原则</w:t>
      </w:r>
    </w:p>
    <w:p>
      <w:pPr>
        <w:snapToGrid w:val="0"/>
        <w:spacing w:line="480" w:lineRule="exact"/>
        <w:ind w:firstLineChars="200" w:firstLine="560"/>
        <w:jc w:val="left"/>
        <w:rPr>
          <w:rFonts w:ascii="方正仿宋_GBK" w:eastAsia="方正仿宋_GBK"/>
          <w:color w:val="000000"/>
          <w:sz w:val="28"/>
          <w:szCs w:val="28"/>
        </w:rPr>
      </w:pPr>
      <w:r>
        <w:rPr>
          <w:rFonts w:ascii="方正仿宋_GBK" w:eastAsia="方正仿宋_GBK" w:hint="eastAsia"/>
          <w:color w:val="000000"/>
          <w:sz w:val="28"/>
          <w:szCs w:val="28"/>
        </w:rPr>
        <w:t>评审小组将按总得分由高到低排列成交候选供应商顺序（总得分相同时，依次按</w:t>
      </w:r>
      <w:r>
        <w:rPr>
          <w:rFonts w:ascii="方正仿宋_GBK" w:eastAsia="方正仿宋_GBK"/>
          <w:color w:val="000000"/>
          <w:sz w:val="28"/>
          <w:szCs w:val="28"/>
        </w:rPr>
        <w:t>价格分、技术分、商务分</w:t>
      </w:r>
      <w:r>
        <w:rPr>
          <w:rFonts w:ascii="方正仿宋_GBK" w:eastAsia="方正仿宋_GBK" w:hint="eastAsia"/>
          <w:color w:val="000000"/>
          <w:sz w:val="28"/>
          <w:szCs w:val="28"/>
        </w:rPr>
        <w:t>的顺序排列），并依照次序确定/推荐成交候选人。</w:t>
      </w:r>
    </w:p>
    <w:p>
      <w:pPr>
        <w:spacing w:line="480" w:lineRule="exact"/>
        <w:ind w:firstLine="630"/>
        <w:rPr>
          <w:rFonts w:eastAsia="方正仿宋_GBK"/>
          <w:sz w:val="28"/>
          <w:szCs w:val="28"/>
        </w:rPr>
      </w:pPr>
      <w:r>
        <w:rPr>
          <w:rFonts w:eastAsia="方正黑体_GBK" w:hint="eastAsia"/>
          <w:color w:val="000000"/>
          <w:sz w:val="28"/>
          <w:szCs w:val="28"/>
        </w:rPr>
        <w:t>六</w:t>
      </w:r>
      <w:r>
        <w:rPr>
          <w:rFonts w:eastAsia="方正黑体_GBK"/>
          <w:color w:val="000000"/>
          <w:sz w:val="28"/>
          <w:szCs w:val="28"/>
        </w:rPr>
        <w:t>、评审地点</w:t>
      </w:r>
      <w:r>
        <w:rPr>
          <w:rFonts w:eastAsia="方正仿宋_GBK"/>
          <w:color w:val="000000"/>
          <w:sz w:val="28"/>
          <w:szCs w:val="28"/>
        </w:rPr>
        <w:t>：钦州港</w:t>
      </w:r>
      <w:r>
        <w:rPr>
          <w:rFonts w:eastAsia="方正仿宋_GBK" w:hint="eastAsia"/>
          <w:color w:val="000000"/>
          <w:sz w:val="28"/>
          <w:szCs w:val="28"/>
        </w:rPr>
        <w:t>海关</w:t>
      </w:r>
      <w:r>
        <w:rPr>
          <w:rFonts w:eastAsia="方正仿宋_GBK"/>
          <w:color w:val="000000"/>
          <w:sz w:val="28"/>
          <w:szCs w:val="28"/>
        </w:rPr>
        <w:t>业务技术用房A座615</w:t>
      </w:r>
      <w:r>
        <w:rPr>
          <w:rFonts w:eastAsia="方正仿宋_GBK"/>
          <w:sz w:val="28"/>
          <w:szCs w:val="28"/>
        </w:rPr>
        <w:t>室</w:t>
      </w:r>
      <w:r>
        <w:rPr>
          <w:rFonts w:eastAsia="方正仿宋_GBK" w:hint="eastAsia"/>
          <w:sz w:val="28"/>
          <w:szCs w:val="28"/>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1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0000000000000000000"/>
    <w:charset w:val="86"/>
    <w:family w:val="modern"/>
    <w:pitch w:val="variable"/>
    <w:sig w:usb0="00000001" w:usb1="080E0000" w:usb2="00000010" w:usb3="00000000" w:csb0="00040000" w:csb1="00000000"/>
  </w:font>
  <w:font w:name="Courier New">
    <w:altName w:val="DejaVu Sans"/>
    <w:panose1 w:val="02070309020205020404"/>
    <w:charset w:val="00"/>
    <w:family w:val="modern"/>
    <w:pitch w:val="variable"/>
    <w:sig w:usb0="E0002AFF" w:usb1="C0007843" w:usb2="00000009" w:usb3="00000000" w:csb0="000001FF" w:csb1="00000000"/>
  </w:font>
  <w:font w:name="宋体">
    <w:altName w:val="汉仪仿宋简"/>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Times New Roman">
    <w:altName w:val="DejaVu Sans"/>
    <w:panose1 w:val="02020603050405020304"/>
    <w:charset w:val="00"/>
    <w:family w:val="roman"/>
    <w:pitch w:val="variable"/>
    <w:sig w:usb0="E0002AFF" w:usb1="C0007841" w:usb2="00000009" w:usb3="00000000" w:csb0="000001FF" w:csb1="00000000"/>
  </w:font>
  <w:font w:name="方正兰亭黑_GBK">
    <w:altName w:val="华文仿宋"/>
    <w:panose1 w:val="02000000000000000000"/>
    <w:charset w:val="86"/>
    <w:family w:val="script"/>
    <w:pitch w:val="variable"/>
    <w:sig w:usb0="A00002BF" w:usb1="3ACF7CFA" w:usb2="00080016" w:usb3="00000000" w:csb0="00040001" w:csb1="00000000"/>
  </w:font>
  <w:font w:name="黑体">
    <w:altName w:val="方正黑体_GBK"/>
    <w:panose1 w:val="00000000000000000000"/>
    <w:charset w:val="00"/>
    <w:family w:val="auto"/>
    <w:pitch w:val="variable"/>
    <w:sig w:usb0="00000000" w:usb1="00000000" w:usb2="00000000" w:usb3="00000000" w:csb0="00000000" w:csb1="00000000"/>
  </w:font>
  <w:font w:name="微软雅黑">
    <w:altName w:val="汉仪行楷简"/>
    <w:panose1 w:val="020B0503020204020204"/>
    <w:charset w:val="86"/>
    <w:family w:val="swiss"/>
    <w:pitch w:val="variable"/>
    <w:sig w:usb0="80000287" w:usb1="280F3C52" w:usb2="00000016" w:usb3="00000000" w:csb0="0004001F" w:csb1="00000000"/>
  </w:font>
  <w:font w:name="Calibri">
    <w:altName w:val="DejaVu Sans"/>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样式 22 10 磅"/>
    <w:pPr>
      <w:widowControl w:val="0"/>
      <w:jc w:val="both"/>
    </w:pPr>
    <w:rPr>
      <w:rFonts w:ascii="Calibri" w:eastAsia="宋体" w:cs="Times New Roman" w:hAnsi="Calibri"/>
      <w:kern w:val="2"/>
      <w:sz w:val="21"/>
      <w:szCs w:val="24"/>
      <w:lang w:val="en-US" w:eastAsia="zh-CN" w:bidi="ar-SA"/>
    </w:rPr>
  </w:style>
  <w:style w:type="paragraph" w:customStyle="1" w:styleId="22">
    <w:name w:val="样式 三号"/>
    <w:pPr>
      <w:spacing w:line="560" w:lineRule="exact"/>
      <w:ind w:firstLineChars="200" w:firstLine="200"/>
    </w:pPr>
    <w:rPr>
      <w:rFonts w:ascii="Times New Roman" w:eastAsia="方正仿宋_GBK" w:cs="Times New Roman" w:hAnsi="Times New Roman"/>
      <w:kern w:val="0"/>
      <w:sz w:val="32"/>
      <w:szCs w:val="22"/>
      <w:lang w:val="en-US" w:eastAsia="zh-CN" w:bidi="en-US"/>
    </w:rPr>
  </w:style>
  <w:style w:type="paragraph" w:customStyle="1" w:styleId="23">
    <w:name w:val="样式 24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782</TotalTime>
  <Application>Yozo_Office</Application>
  <Pages>3</Pages>
  <Words>1465</Words>
  <Characters>1521</Characters>
  <Lines>93</Lines>
  <Paragraphs>65</Paragraphs>
  <CharactersWithSpaces>1522</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王铖堃</cp:lastModifiedBy>
  <cp:revision>23</cp:revision>
  <cp:lastPrinted>2022-04-12T09:32:00Z</cp:lastPrinted>
  <dcterms:created xsi:type="dcterms:W3CDTF">2022-08-23T09:15:00Z</dcterms:created>
  <dcterms:modified xsi:type="dcterms:W3CDTF">2026-01-04T07:03:46Z</dcterms:modified>
</cp:coreProperties>
</file>