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40" w:lineRule="exact"/>
        <w:jc w:val="center"/>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ascii="方正黑体_GBK" w:eastAsia="方正黑体_GBK" w:hint="eastAsia"/>
          <w:b/>
          <w:color w:val="000000"/>
          <w:sz w:val="28"/>
          <w:szCs w:val="28"/>
        </w:rPr>
        <w:t>响应文件送达及密封检查</w:t>
      </w:r>
    </w:p>
    <w:p>
      <w:pPr>
        <w:spacing w:line="480" w:lineRule="exact"/>
        <w:ind w:firstLineChars="200" w:firstLine="560"/>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具备《采购公告》中企业资质，通过审查不足3家的应废标，采购人</w:t>
      </w:r>
      <w:r>
        <w:rPr>
          <w:rFonts w:eastAsia="方正仿宋_GBK"/>
          <w:color w:val="000000"/>
          <w:sz w:val="28"/>
          <w:szCs w:val="28"/>
        </w:rPr>
        <w:t>重新组织</w:t>
      </w:r>
      <w:r>
        <w:rPr>
          <w:rFonts w:eastAsia="方正仿宋_GBK" w:hint="eastAsia"/>
          <w:color w:val="000000"/>
          <w:sz w:val="28"/>
          <w:szCs w:val="28"/>
        </w:rPr>
        <w:t>采购</w:t>
      </w:r>
      <w:r>
        <w:rPr>
          <w:rFonts w:eastAsia="方正仿宋_GBK"/>
          <w:color w:val="000000"/>
          <w:sz w:val="28"/>
          <w:szCs w:val="28"/>
        </w:rPr>
        <w:t>。</w:t>
      </w:r>
    </w:p>
    <w:p>
      <w:pPr>
        <w:spacing w:line="480" w:lineRule="exact"/>
        <w:ind w:left="64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7.供应商基本情况介绍（格式自拟，必须提供）；</w:t>
      </w:r>
    </w:p>
    <w:p>
      <w:pPr>
        <w:spacing w:line="480" w:lineRule="exact"/>
        <w:ind w:leftChars="-1" w:left="-2" w:firstLineChars="221" w:firstLine="619"/>
        <w:rPr>
          <w:rFonts w:eastAsia="方正仿宋_GBK"/>
          <w:sz w:val="28"/>
          <w:szCs w:val="28"/>
        </w:rPr>
      </w:pPr>
      <w:r>
        <w:rPr>
          <w:rFonts w:eastAsia="方正仿宋_GBK"/>
          <w:sz w:val="28"/>
          <w:szCs w:val="28"/>
        </w:rPr>
        <w:t>8.服务承诺（格式自拟，必须提供）；</w:t>
      </w:r>
    </w:p>
    <w:p>
      <w:pPr>
        <w:spacing w:line="480" w:lineRule="exact"/>
        <w:ind w:leftChars="-1" w:left="-2" w:firstLineChars="221" w:firstLine="619"/>
        <w:rPr>
          <w:rFonts w:eastAsia="方正仿宋_GBK"/>
          <w:sz w:val="28"/>
          <w:szCs w:val="28"/>
        </w:rPr>
      </w:pPr>
      <w:r>
        <w:rPr>
          <w:rFonts w:eastAsia="方正仿宋_GBK"/>
          <w:sz w:val="28"/>
          <w:szCs w:val="28"/>
        </w:rPr>
        <w:t>9.近三年同类工作相关业绩（中标通知书或合同关键页复印件并加盖公章）；</w:t>
      </w:r>
    </w:p>
    <w:p>
      <w:pPr>
        <w:spacing w:line="480" w:lineRule="exact"/>
        <w:ind w:leftChars="-1" w:left="-2" w:firstLineChars="221" w:firstLine="619"/>
        <w:rPr>
          <w:rFonts w:ascii="方正仿宋_GBK" w:eastAsia="方正仿宋_GBK"/>
          <w:sz w:val="28"/>
          <w:szCs w:val="28"/>
        </w:rPr>
      </w:pPr>
      <w:r>
        <w:rPr>
          <w:rFonts w:eastAsia="方正仿宋_GBK" w:hint="eastAsia"/>
          <w:sz w:val="28"/>
          <w:szCs w:val="28"/>
        </w:rPr>
        <w:t>1</w:t>
      </w:r>
      <w:r>
        <w:rPr>
          <w:rFonts w:eastAsia="方正仿宋_GBK"/>
          <w:sz w:val="28"/>
          <w:szCs w:val="28"/>
        </w:rPr>
        <w:t>0</w:t>
      </w:r>
      <w:r>
        <w:rPr>
          <w:rFonts w:eastAsia="方正仿宋_GBK" w:hint="eastAsia"/>
          <w:sz w:val="28"/>
          <w:szCs w:val="28"/>
        </w:rPr>
        <w:t>.</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napToGrid w:val="0"/>
        <w:spacing w:line="480" w:lineRule="exact"/>
        <w:ind w:firstLineChars="196" w:firstLine="549"/>
        <w:jc w:val="left"/>
        <w:rPr>
          <w:rFonts w:ascii="仿宋_GB2312" w:eastAsia="仿宋_GB2312" w:cs="Courier New"/>
          <w:b/>
          <w:color w:val="000000"/>
          <w:sz w:val="28"/>
          <w:szCs w:val="28"/>
        </w:rPr>
      </w:pPr>
      <w:r>
        <w:rPr>
          <w:rFonts w:ascii="仿宋_GB2312" w:eastAsia="仿宋_GB2312" w:cs="Courier New" w:hint="eastAsia"/>
          <w:b/>
          <w:color w:val="000000"/>
          <w:sz w:val="28"/>
          <w:szCs w:val="28"/>
        </w:rPr>
        <w:t>（一）评审方法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8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485"/>
        <w:gridCol w:w="1121"/>
        <w:gridCol w:w="1260"/>
        <w:gridCol w:w="6131"/>
      </w:tblGrid>
      <w:tr>
        <w:trPr>
          <w:trHeight w:val="608"/>
        </w:trPr>
        <w:tc>
          <w:tcPr>
            <w:tcW w:w="485" w:type="dxa"/>
            <w:vAlign w:val="center"/>
          </w:tcPr>
          <w:p>
            <w:pPr>
              <w:jc w:val="center"/>
              <w:rPr>
                <w:rFonts w:ascii="宋体" w:cs="Arial"/>
                <w:b/>
                <w:sz w:val="24"/>
                <w:szCs w:val="24"/>
              </w:rPr>
            </w:pPr>
            <w:r>
              <w:rPr>
                <w:rFonts w:ascii="宋体" w:cs="Arial" w:hint="eastAsia"/>
                <w:b/>
                <w:sz w:val="24"/>
                <w:szCs w:val="24"/>
              </w:rPr>
              <w:t>序号</w:t>
            </w:r>
          </w:p>
        </w:tc>
        <w:tc>
          <w:tcPr>
            <w:tcW w:w="2381" w:type="dxa"/>
            <w:gridSpan w:val="2"/>
            <w:vAlign w:val="center"/>
          </w:tcPr>
          <w:p>
            <w:pPr>
              <w:jc w:val="center"/>
              <w:rPr>
                <w:rFonts w:ascii="宋体" w:cs="Arial"/>
                <w:b/>
                <w:sz w:val="24"/>
                <w:szCs w:val="24"/>
              </w:rPr>
            </w:pPr>
            <w:r>
              <w:rPr>
                <w:rFonts w:ascii="宋体" w:cs="Arial" w:hint="eastAsia"/>
                <w:b/>
                <w:sz w:val="24"/>
                <w:szCs w:val="24"/>
              </w:rPr>
              <w:t>评</w:t>
            </w:r>
            <w:r>
              <w:rPr>
                <w:rFonts w:ascii="宋体" w:cs="Arial"/>
                <w:b/>
                <w:sz w:val="24"/>
                <w:szCs w:val="24"/>
              </w:rPr>
              <w:t>分项</w:t>
            </w:r>
          </w:p>
        </w:tc>
        <w:tc>
          <w:tcPr>
            <w:tcW w:w="6131" w:type="dxa"/>
            <w:vAlign w:val="center"/>
          </w:tcPr>
          <w:p>
            <w:pPr>
              <w:jc w:val="center"/>
              <w:rPr>
                <w:rFonts w:ascii="宋体" w:cs="Arial"/>
                <w:b/>
                <w:sz w:val="24"/>
                <w:szCs w:val="24"/>
              </w:rPr>
            </w:pPr>
            <w:r>
              <w:rPr>
                <w:rFonts w:ascii="宋体" w:cs="Arial" w:hint="eastAsia"/>
                <w:b/>
                <w:sz w:val="24"/>
                <w:szCs w:val="24"/>
              </w:rPr>
              <w:t>评分标准</w:t>
            </w:r>
          </w:p>
        </w:tc>
      </w:tr>
      <w:tr>
        <w:trPr>
          <w:trHeight w:val="1405"/>
        </w:trPr>
        <w:tc>
          <w:tcPr>
            <w:tcW w:w="485"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2381" w:type="dxa"/>
            <w:gridSpan w:val="2"/>
            <w:vAlign w:val="center"/>
          </w:tcPr>
          <w:p>
            <w:pPr>
              <w:spacing w:line="400" w:lineRule="exact"/>
              <w:jc w:val="center"/>
              <w:rPr>
                <w:rFonts w:eastAsia="方正仿宋_GBK" w:cs="宋体"/>
                <w:b/>
                <w:bCs/>
                <w:sz w:val="24"/>
              </w:rPr>
            </w:pPr>
            <w:r>
              <w:rPr>
                <w:rFonts w:eastAsia="方正仿宋_GBK" w:cs="宋体" w:hint="eastAsia"/>
                <w:b/>
                <w:bCs/>
                <w:sz w:val="24"/>
              </w:rPr>
              <w:t>价格</w:t>
            </w:r>
            <w:r>
              <w:rPr>
                <w:rFonts w:eastAsia="方正仿宋_GBK" w:cs="宋体"/>
                <w:b/>
                <w:bCs/>
                <w:sz w:val="24"/>
              </w:rPr>
              <w:t>分</w:t>
            </w:r>
          </w:p>
          <w:p>
            <w:pPr>
              <w:spacing w:line="400" w:lineRule="exact"/>
              <w:ind w:firstLineChars="50" w:firstLine="120"/>
              <w:jc w:val="center"/>
              <w:rPr>
                <w:rFonts w:ascii="宋体" w:eastAsia="宋体" w:cs="Arial"/>
                <w:sz w:val="24"/>
                <w:szCs w:val="24"/>
              </w:rPr>
            </w:pPr>
            <w:r>
              <w:rPr>
                <w:rFonts w:ascii="宋体" w:eastAsia="宋体" w:cs="Arial" w:hint="eastAsia"/>
                <w:b/>
                <w:bCs/>
                <w:sz w:val="24"/>
                <w:szCs w:val="24"/>
              </w:rPr>
              <w:t>（</w:t>
            </w:r>
            <w:r>
              <w:rPr>
                <w:rFonts w:ascii="宋体" w:eastAsia="宋体" w:cs="Arial"/>
                <w:b/>
                <w:bCs/>
                <w:sz w:val="24"/>
                <w:szCs w:val="24"/>
              </w:rPr>
              <w:t>3</w:t>
            </w:r>
            <w:r>
              <w:rPr>
                <w:rFonts w:ascii="宋体" w:eastAsia="宋体" w:cs="Arial" w:hint="eastAsia"/>
                <w:b/>
                <w:bCs/>
                <w:sz w:val="24"/>
                <w:szCs w:val="24"/>
              </w:rPr>
              <w:t>0分）</w:t>
            </w:r>
          </w:p>
        </w:tc>
        <w:tc>
          <w:tcPr>
            <w:tcW w:w="6131" w:type="dxa"/>
            <w:vAlign w:val="center"/>
          </w:tcPr>
          <w:p>
            <w:pPr>
              <w:spacing w:line="400" w:lineRule="exact"/>
              <w:rPr>
                <w:rFonts w:ascii="宋体" w:eastAsia="宋体" w:cs="宋体" w:hint="eastAsia"/>
                <w:color w:val="000000"/>
                <w:kern w:val="0"/>
                <w:sz w:val="24"/>
                <w:szCs w:val="24"/>
              </w:rPr>
            </w:pPr>
            <w:r>
              <w:rPr>
                <w:rFonts w:ascii="宋体" w:eastAsia="宋体" w:cs="宋体"/>
                <w:color w:val="000000"/>
                <w:kern w:val="0"/>
                <w:sz w:val="24"/>
                <w:szCs w:val="24"/>
              </w:rPr>
              <w:t>根据供应商提供的服务收费报价优惠率进行评定。</w:t>
            </w:r>
          </w:p>
          <w:p>
            <w:pPr>
              <w:spacing w:line="400" w:lineRule="exact"/>
              <w:rPr>
                <w:rFonts w:ascii="宋体" w:eastAsia="宋体" w:cs="Arial"/>
                <w:sz w:val="24"/>
                <w:szCs w:val="24"/>
              </w:rPr>
            </w:pPr>
            <w:r>
              <w:rPr>
                <w:rFonts w:ascii="宋体" w:eastAsia="宋体" w:cs="Arial"/>
                <w:sz w:val="24"/>
                <w:szCs w:val="24"/>
              </w:rPr>
              <w:t>分一档（21-30分）、二档（11-20分）、三档（10分以下）进行评分。</w:t>
            </w:r>
          </w:p>
        </w:tc>
      </w:tr>
      <w:tr>
        <w:trPr>
          <w:trHeight w:val="1589"/>
        </w:trPr>
        <w:tc>
          <w:tcPr>
            <w:tcW w:w="485" w:type="dxa"/>
            <w:vMerge w:val="restart"/>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121" w:type="dxa"/>
            <w:vMerge w:val="restart"/>
            <w:vAlign w:val="center"/>
          </w:tcPr>
          <w:p>
            <w:pPr>
              <w:spacing w:line="400" w:lineRule="exact"/>
              <w:jc w:val="center"/>
              <w:rPr>
                <w:rFonts w:eastAsia="方正仿宋_GBK" w:cs="宋体"/>
                <w:b/>
                <w:bCs/>
                <w:sz w:val="24"/>
              </w:rPr>
            </w:pPr>
            <w:r>
              <w:rPr>
                <w:rFonts w:eastAsia="方正仿宋_GBK" w:cs="宋体"/>
                <w:b/>
                <w:bCs/>
                <w:sz w:val="24"/>
              </w:rPr>
              <w:t>技术分</w:t>
            </w:r>
          </w:p>
          <w:p>
            <w:pPr>
              <w:spacing w:line="400" w:lineRule="exact"/>
              <w:jc w:val="center"/>
              <w:rPr>
                <w:rFonts w:eastAsia="方正仿宋_GBK" w:cs="宋体"/>
                <w:b/>
                <w:bCs/>
                <w:sz w:val="24"/>
              </w:rPr>
            </w:pPr>
            <w:r>
              <w:rPr>
                <w:rFonts w:eastAsia="方正仿宋_GBK" w:cs="宋体"/>
                <w:b/>
                <w:bCs/>
                <w:sz w:val="24"/>
              </w:rPr>
              <w:t>（60分）</w:t>
            </w:r>
          </w:p>
        </w:tc>
        <w:tc>
          <w:tcPr>
            <w:tcW w:w="1260" w:type="dxa"/>
            <w:vAlign w:val="center"/>
          </w:tcPr>
          <w:p>
            <w:pPr>
              <w:spacing w:line="400" w:lineRule="exact"/>
              <w:jc w:val="center"/>
              <w:rPr>
                <w:rFonts w:eastAsia="方正仿宋_GBK" w:cs="宋体"/>
                <w:b/>
                <w:bCs/>
                <w:sz w:val="24"/>
              </w:rPr>
            </w:pPr>
            <w:r>
              <w:rPr>
                <w:rFonts w:eastAsia="方正仿宋_GBK" w:cs="宋体"/>
                <w:b/>
                <w:bCs/>
                <w:sz w:val="24"/>
              </w:rPr>
              <w:t>场所硬件条件</w:t>
            </w:r>
          </w:p>
          <w:p>
            <w:pPr>
              <w:spacing w:line="400" w:lineRule="exact"/>
              <w:jc w:val="center"/>
              <w:rPr>
                <w:rFonts w:ascii="宋体" w:eastAsia="宋体" w:cs="宋体"/>
                <w:b/>
                <w:bCs/>
                <w:sz w:val="24"/>
                <w:szCs w:val="24"/>
              </w:rPr>
            </w:pPr>
            <w:r>
              <w:rPr>
                <w:rFonts w:ascii="宋体" w:eastAsia="宋体" w:cs="Arial" w:hint="eastAsia"/>
                <w:b/>
                <w:bCs/>
                <w:sz w:val="24"/>
                <w:szCs w:val="24"/>
              </w:rPr>
              <w:t>（</w:t>
            </w:r>
            <w:r>
              <w:rPr>
                <w:rFonts w:ascii="宋体" w:eastAsia="宋体" w:cs="Arial"/>
                <w:b/>
                <w:bCs/>
                <w:sz w:val="24"/>
                <w:szCs w:val="24"/>
              </w:rPr>
              <w:t>20</w:t>
            </w:r>
            <w:r>
              <w:rPr>
                <w:rFonts w:ascii="宋体" w:eastAsia="宋体" w:cs="Arial" w:hint="eastAsia"/>
                <w:b/>
                <w:bCs/>
                <w:sz w:val="24"/>
                <w:szCs w:val="24"/>
              </w:rPr>
              <w:t>分）</w:t>
            </w:r>
          </w:p>
        </w:tc>
        <w:tc>
          <w:tcPr>
            <w:tcW w:w="6131" w:type="dxa"/>
            <w:vAlign w:val="center"/>
          </w:tcPr>
          <w:p>
            <w:pPr>
              <w:spacing w:line="400" w:lineRule="exact"/>
              <w:rPr>
                <w:rFonts w:ascii="宋体" w:eastAsia="宋体" w:cs="宋体" w:hint="eastAsia"/>
                <w:color w:val="000000"/>
                <w:kern w:val="0"/>
                <w:sz w:val="24"/>
                <w:szCs w:val="24"/>
              </w:rPr>
            </w:pPr>
            <w:r>
              <w:rPr>
                <w:rFonts w:ascii="宋体" w:eastAsia="宋体" w:cs="宋体"/>
                <w:color w:val="000000"/>
                <w:kern w:val="0"/>
                <w:sz w:val="24"/>
                <w:szCs w:val="24"/>
              </w:rPr>
              <w:t>根据供应商提供的硬件条件包括场所位置及面积、工位数量及布局、停车场面积及条件等信息及现场实拍图进行评定。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分一档（15-20分）、二档（9-14分）、三档（8分及以下）进行评分。</w:t>
            </w:r>
          </w:p>
        </w:tc>
      </w:tr>
      <w:tr>
        <w:trPr>
          <w:trHeight w:val="1372"/>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eastAsia="方正仿宋_GBK" w:cs="宋体"/>
                <w:b/>
                <w:bCs/>
                <w:sz w:val="24"/>
              </w:rPr>
            </w:pPr>
            <w:r>
              <w:rPr>
                <w:rFonts w:eastAsia="方正仿宋_GBK" w:cs="宋体"/>
                <w:b/>
                <w:bCs/>
                <w:sz w:val="24"/>
              </w:rPr>
              <w:t>设备及技术人员</w:t>
            </w:r>
          </w:p>
          <w:p>
            <w:pPr>
              <w:spacing w:line="400" w:lineRule="exact"/>
              <w:jc w:val="center"/>
              <w:rPr>
                <w:rFonts w:eastAsia="方正仿宋_GBK" w:cs="宋体"/>
                <w:b/>
                <w:bCs/>
                <w:sz w:val="24"/>
              </w:rPr>
            </w:pPr>
            <w:r>
              <w:rPr>
                <w:rFonts w:eastAsia="方正仿宋_GBK" w:cs="宋体"/>
                <w:b/>
                <w:bCs/>
                <w:sz w:val="24"/>
              </w:rPr>
              <w:t>（20分）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根据拟投入的各类检测设备、维修设备、仪表工具等设备信息以及主要技术人员数量、资质、社保参保缴费证明（近半年内）进行评定。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分一档（15-20分）、二档（9-14分）、三档（8分及以下）进行评分。</w:t>
            </w:r>
          </w:p>
        </w:tc>
      </w:tr>
      <w:tr>
        <w:trPr>
          <w:trHeight w:val="1589"/>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ascii="宋体" w:eastAsia="宋体" w:cs="宋体"/>
                <w:b/>
                <w:bCs/>
                <w:sz w:val="24"/>
                <w:szCs w:val="24"/>
              </w:rPr>
            </w:pPr>
            <w:r>
              <w:rPr>
                <w:rFonts w:eastAsia="方正仿宋_GBK" w:cs="宋体"/>
                <w:b/>
                <w:bCs/>
                <w:sz w:val="24"/>
              </w:rPr>
              <w:t>服务承诺</w:t>
            </w:r>
          </w:p>
          <w:p>
            <w:pPr>
              <w:spacing w:line="400" w:lineRule="exact"/>
              <w:jc w:val="center"/>
              <w:rPr>
                <w:rFonts w:eastAsia="方正仿宋_GBK" w:cs="宋体"/>
                <w:b/>
                <w:bCs/>
                <w:sz w:val="24"/>
              </w:rPr>
            </w:pPr>
            <w:r>
              <w:rPr>
                <w:rFonts w:ascii="宋体" w:eastAsia="宋体" w:cs="Arial" w:hint="eastAsia"/>
                <w:b/>
                <w:bCs/>
                <w:sz w:val="24"/>
                <w:szCs w:val="24"/>
              </w:rPr>
              <w:t>（</w:t>
            </w:r>
            <w:r>
              <w:rPr>
                <w:rFonts w:ascii="宋体" w:eastAsia="宋体" w:cs="Arial"/>
                <w:b/>
                <w:bCs/>
                <w:sz w:val="24"/>
                <w:szCs w:val="24"/>
              </w:rPr>
              <w:t>20</w:t>
            </w:r>
            <w:r>
              <w:rPr>
                <w:rFonts w:ascii="宋体" w:eastAsia="宋体" w:cs="Arial" w:hint="eastAsia"/>
                <w:b/>
                <w:bCs/>
                <w:sz w:val="24"/>
                <w:szCs w:val="24"/>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根据供应商提供的服务承诺（响应时限、质保服务、增值服务等）进行评定。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分一档（15-20分）、二档（9-14分）、三档（8分及以下）进行评分。</w:t>
            </w:r>
          </w:p>
        </w:tc>
      </w:tr>
      <w:tr>
        <w:trPr>
          <w:trHeight w:val="444"/>
        </w:trPr>
        <w:tc>
          <w:tcPr>
            <w:tcW w:w="485" w:type="dxa"/>
            <w:vAlign w:val="center"/>
          </w:tcPr>
          <w:p>
            <w:pPr>
              <w:spacing w:line="400" w:lineRule="exact"/>
              <w:jc w:val="center"/>
              <w:rPr>
                <w:rFonts w:ascii="宋体" w:eastAsia="宋体" w:cs="Arial"/>
                <w:sz w:val="24"/>
                <w:szCs w:val="24"/>
              </w:rPr>
            </w:pPr>
            <w:r>
              <w:rPr>
                <w:rFonts w:ascii="宋体" w:eastAsia="宋体" w:cs="Arial"/>
                <w:sz w:val="24"/>
                <w:szCs w:val="24"/>
              </w:rPr>
              <w:t>3</w:t>
            </w:r>
          </w:p>
        </w:tc>
        <w:tc>
          <w:tcPr>
            <w:tcW w:w="2381" w:type="dxa"/>
            <w:gridSpan w:val="2"/>
            <w:tcBorders>
              <w:left w:val="single" w:sz="4" w:space="0" w:color="auto"/>
            </w:tcBorders>
            <w:vAlign w:val="center"/>
          </w:tcPr>
          <w:p>
            <w:pPr>
              <w:spacing w:line="400" w:lineRule="exact"/>
              <w:jc w:val="center"/>
              <w:rPr>
                <w:rFonts w:ascii="宋体" w:eastAsia="宋体" w:cs="宋体"/>
                <w:b/>
                <w:bCs/>
                <w:sz w:val="24"/>
                <w:szCs w:val="24"/>
              </w:rPr>
            </w:pPr>
            <w:r>
              <w:rPr>
                <w:rFonts w:eastAsia="方正仿宋_GBK" w:cs="宋体"/>
                <w:b/>
                <w:bCs/>
                <w:sz w:val="24"/>
              </w:rPr>
              <w:t>商务分</w:t>
            </w:r>
            <w:r>
              <w:rPr>
                <w:rFonts w:ascii="宋体" w:eastAsia="宋体" w:cs="宋体" w:hint="eastAsia"/>
                <w:b/>
                <w:bCs/>
                <w:sz w:val="24"/>
                <w:szCs w:val="24"/>
              </w:rPr>
              <w:t>（</w:t>
            </w:r>
            <w:r>
              <w:rPr>
                <w:rFonts w:ascii="宋体" w:eastAsia="宋体" w:cs="宋体"/>
                <w:b/>
                <w:bCs/>
                <w:sz w:val="24"/>
                <w:szCs w:val="24"/>
              </w:rPr>
              <w:t>10</w:t>
            </w:r>
            <w:r>
              <w:rPr>
                <w:rFonts w:ascii="宋体" w:eastAsia="宋体" w:cs="宋体" w:hint="eastAsia"/>
                <w:b/>
                <w:bCs/>
                <w:sz w:val="24"/>
                <w:szCs w:val="24"/>
              </w:rPr>
              <w:t>分）</w:t>
            </w:r>
          </w:p>
        </w:tc>
        <w:tc>
          <w:tcPr>
            <w:tcW w:w="6131" w:type="dxa"/>
          </w:tcPr>
          <w:p>
            <w:pPr>
              <w:spacing w:line="400" w:lineRule="exact"/>
              <w:rPr>
                <w:rFonts w:ascii="宋体" w:eastAsia="宋体" w:cs="宋体"/>
                <w:color w:val="000000"/>
                <w:kern w:val="0"/>
                <w:sz w:val="24"/>
                <w:szCs w:val="24"/>
              </w:rPr>
            </w:pPr>
            <w:r>
              <w:rPr>
                <w:rFonts w:ascii="宋体" w:eastAsia="宋体" w:cs="宋体" w:hint="eastAsia"/>
                <w:color w:val="000000"/>
                <w:kern w:val="0"/>
                <w:sz w:val="24"/>
                <w:szCs w:val="24"/>
              </w:rPr>
              <w:t>供应商自20</w:t>
            </w:r>
            <w:r>
              <w:rPr>
                <w:rFonts w:ascii="宋体" w:eastAsia="宋体" w:cs="宋体"/>
                <w:color w:val="000000"/>
                <w:kern w:val="0"/>
                <w:sz w:val="24"/>
                <w:szCs w:val="24"/>
              </w:rPr>
              <w:t>23</w:t>
            </w:r>
            <w:r>
              <w:rPr>
                <w:rFonts w:ascii="宋体" w:eastAsia="宋体" w:cs="宋体" w:hint="eastAsia"/>
                <w:color w:val="000000"/>
                <w:kern w:val="0"/>
                <w:sz w:val="24"/>
                <w:szCs w:val="24"/>
              </w:rPr>
              <w:t>年1月1日以来承接过</w:t>
            </w:r>
            <w:r>
              <w:rPr>
                <w:rFonts w:ascii="宋体" w:eastAsia="宋体" w:cs="宋体"/>
                <w:color w:val="000000"/>
                <w:kern w:val="0"/>
                <w:sz w:val="24"/>
                <w:szCs w:val="24"/>
              </w:rPr>
              <w:t>类似车辆维修</w:t>
            </w:r>
            <w:r>
              <w:rPr>
                <w:rFonts w:ascii="宋体" w:eastAsia="宋体" w:cs="宋体" w:hint="eastAsia"/>
                <w:color w:val="000000"/>
                <w:kern w:val="0"/>
                <w:sz w:val="24"/>
                <w:szCs w:val="24"/>
              </w:rPr>
              <w:t>服务项目的，每提供一项业绩证明材料得</w:t>
            </w:r>
            <w:r>
              <w:rPr>
                <w:rFonts w:ascii="宋体" w:eastAsia="宋体" w:cs="宋体"/>
                <w:color w:val="000000"/>
                <w:kern w:val="0"/>
                <w:sz w:val="24"/>
                <w:szCs w:val="24"/>
              </w:rPr>
              <w:t>3</w:t>
            </w:r>
            <w:r>
              <w:rPr>
                <w:rFonts w:ascii="宋体" w:eastAsia="宋体" w:cs="宋体" w:hint="eastAsia"/>
                <w:color w:val="000000"/>
                <w:kern w:val="0"/>
                <w:sz w:val="24"/>
                <w:szCs w:val="24"/>
              </w:rPr>
              <w:t>分</w:t>
            </w:r>
            <w:r>
              <w:rPr>
                <w:rFonts w:ascii="宋体" w:eastAsia="宋体" w:cs="宋体"/>
                <w:color w:val="000000"/>
                <w:kern w:val="0"/>
                <w:sz w:val="24"/>
                <w:szCs w:val="24"/>
              </w:rPr>
              <w:t>（如为党政机关服务业绩可得5分）</w:t>
            </w:r>
            <w:r>
              <w:rPr>
                <w:rFonts w:ascii="宋体" w:eastAsia="宋体" w:cs="宋体" w:hint="eastAsia"/>
                <w:color w:val="000000"/>
                <w:kern w:val="0"/>
                <w:sz w:val="24"/>
                <w:szCs w:val="24"/>
              </w:rPr>
              <w:t>，此项满分</w:t>
            </w:r>
            <w:r>
              <w:rPr>
                <w:rFonts w:ascii="宋体" w:eastAsia="宋体" w:cs="宋体"/>
                <w:color w:val="000000"/>
                <w:kern w:val="0"/>
                <w:sz w:val="24"/>
                <w:szCs w:val="24"/>
              </w:rPr>
              <w:t>10</w:t>
            </w:r>
            <w:r>
              <w:rPr>
                <w:rFonts w:ascii="宋体" w:eastAsia="宋体" w:cs="宋体" w:hint="eastAsia"/>
                <w:color w:val="000000"/>
                <w:kern w:val="0"/>
                <w:sz w:val="24"/>
                <w:szCs w:val="24"/>
              </w:rPr>
              <w:t>分（业绩证明材料要求：中标（成交）通知书或合同关键页复印件并加盖公章）。</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w:t>
      </w:r>
      <w:r>
        <w:rPr>
          <w:rFonts w:ascii="方正仿宋_GBK" w:eastAsia="方正仿宋_GBK"/>
          <w:color w:val="000000"/>
          <w:sz w:val="28"/>
          <w:szCs w:val="28"/>
        </w:rPr>
        <w:t>价格分、技术分、商务分</w:t>
      </w:r>
      <w:r>
        <w:rPr>
          <w:rFonts w:ascii="方正仿宋_GBK" w:eastAsia="方正仿宋_GBK" w:hint="eastAsia"/>
          <w:color w:val="000000"/>
          <w:sz w:val="28"/>
          <w:szCs w:val="28"/>
        </w:rPr>
        <w:t>的顺序排列），并依照次序确定/推荐成交候选人。</w:t>
      </w:r>
    </w:p>
    <w:p>
      <w:pPr>
        <w:spacing w:line="480" w:lineRule="exact"/>
        <w:ind w:firstLine="630"/>
        <w:rPr>
          <w:rFonts w:eastAsia="方正仿宋_GBK"/>
          <w:sz w:val="28"/>
          <w:szCs w:val="28"/>
        </w:rPr>
      </w:pPr>
      <w:r>
        <w:rPr>
          <w:rFonts w:eastAsia="方正黑体_GBK" w:hint="eastAsia"/>
          <w:color w:val="000000"/>
          <w:sz w:val="28"/>
          <w:szCs w:val="28"/>
        </w:rPr>
        <w:t>六</w:t>
      </w:r>
      <w:r>
        <w:rPr>
          <w:rFonts w:eastAsia="方正黑体_GBK"/>
          <w:color w:val="000000"/>
          <w:sz w:val="28"/>
          <w:szCs w:val="28"/>
        </w:rPr>
        <w:t>、评审地点</w:t>
      </w:r>
      <w:r>
        <w:rPr>
          <w:rFonts w:eastAsia="方正仿宋_GBK"/>
          <w:color w:val="000000"/>
          <w:sz w:val="28"/>
          <w:szCs w:val="28"/>
        </w:rPr>
        <w:t>：钦州港</w:t>
      </w:r>
      <w:r>
        <w:rPr>
          <w:rFonts w:eastAsia="方正仿宋_GBK" w:hint="eastAsia"/>
          <w:color w:val="000000"/>
          <w:sz w:val="28"/>
          <w:szCs w:val="28"/>
        </w:rPr>
        <w:t>海关</w:t>
      </w:r>
      <w:r>
        <w:rPr>
          <w:rFonts w:eastAsia="方正仿宋_GBK"/>
          <w:color w:val="000000"/>
          <w:sz w:val="28"/>
          <w:szCs w:val="28"/>
        </w:rPr>
        <w:t>业务技术用房A座615</w:t>
      </w:r>
      <w:r>
        <w:rPr>
          <w:rFonts w:eastAsia="方正仿宋_GBK"/>
          <w:sz w:val="28"/>
          <w:szCs w:val="28"/>
        </w:rPr>
        <w:t>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汉仪仿宋简"/>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Times New Roman">
    <w:altName w:val="DejaVu Sans"/>
    <w:panose1 w:val="02020603050405020304"/>
    <w:charset w:val="00"/>
    <w:family w:val="roman"/>
    <w:pitch w:val="variable"/>
    <w:sig w:usb0="E0002AFF" w:usb1="C0007841" w:usb2="00000009" w:usb3="00000000" w:csb0="000001FF" w:csb1="00000000"/>
  </w:font>
  <w:font w:name="方正兰亭黑_GBK">
    <w:altName w:val="华文仿宋"/>
    <w:panose1 w:val="02000000000000000000"/>
    <w:charset w:val="86"/>
    <w:family w:val="script"/>
    <w:pitch w:val="variable"/>
    <w:sig w:usb0="A00002BF" w:usb1="3ACF7CFA" w:usb2="00080016" w:usb3="00000000" w:csb0="00040001" w:csb1="00000000"/>
  </w:font>
  <w:font w:name="黑体">
    <w:altName w:val="方正黑体_GBK"/>
    <w:panose1 w:val="00000000000000000000"/>
    <w:charset w:val="00"/>
    <w:family w:val="auto"/>
    <w:pitch w:val="variable"/>
    <w:sig w:usb0="00000000" w:usb1="00000000" w:usb2="00000000" w:usb3="00000000" w:csb0="00000000" w:csb1="00000000"/>
  </w:font>
  <w:font w:name="微软雅黑">
    <w:altName w:val="汉仪行楷简"/>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样式 22 10 磅"/>
    <w:pPr>
      <w:widowControl w:val="0"/>
      <w:jc w:val="both"/>
    </w:pPr>
    <w:rPr>
      <w:rFonts w:ascii="Calibri" w:eastAsia="宋体" w:cs="Times New Roman" w:hAnsi="Calibri"/>
      <w:kern w:val="2"/>
      <w:sz w:val="21"/>
      <w:szCs w:val="24"/>
      <w:lang w:val="en-US" w:eastAsia="zh-CN" w:bidi="ar-SA"/>
    </w:rPr>
  </w:style>
  <w:style w:type="paragraph" w:customStyle="1" w:styleId="22">
    <w:name w:val="样式 三号"/>
    <w:pPr>
      <w:spacing w:line="560" w:lineRule="exact"/>
      <w:ind w:firstLineChars="200" w:firstLine="200"/>
    </w:pPr>
    <w:rPr>
      <w:rFonts w:ascii="Times New Roman" w:eastAsia="方正仿宋_GBK" w:cs="Times New Roman" w:hAnsi="Times New Roman"/>
      <w:kern w:val="0"/>
      <w:sz w:val="32"/>
      <w:szCs w:val="22"/>
      <w:lang w:val="en-US" w:eastAsia="zh-CN" w:bidi="en-US"/>
    </w:rPr>
  </w:style>
  <w:style w:type="paragraph" w:customStyle="1" w:styleId="23">
    <w:name w:val="样式 2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741</TotalTime>
  <Application>Yozo_Office</Application>
  <Pages>3</Pages>
  <Words>1449</Words>
  <Characters>1507</Characters>
  <Lines>93</Lines>
  <Paragraphs>63</Paragraphs>
  <CharactersWithSpaces>1508</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王铖堃</cp:lastModifiedBy>
  <cp:revision>23</cp:revision>
  <cp:lastPrinted>2022-04-12T09:32:00Z</cp:lastPrinted>
  <dcterms:created xsi:type="dcterms:W3CDTF">2022-08-23T09:15:00Z</dcterms:created>
  <dcterms:modified xsi:type="dcterms:W3CDTF">2026-01-04T07:02:23Z</dcterms:modified>
</cp:coreProperties>
</file>