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40" w:lineRule="exact"/>
        <w:jc w:val="center"/>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ascii="方正黑体_GBK" w:eastAsia="方正黑体_GBK" w:hint="eastAsia"/>
          <w:b/>
          <w:color w:val="000000"/>
          <w:sz w:val="28"/>
          <w:szCs w:val="28"/>
        </w:rPr>
        <w:t>响应文件送达及密封检查</w:t>
      </w:r>
    </w:p>
    <w:p>
      <w:pPr>
        <w:spacing w:line="480" w:lineRule="exact"/>
        <w:ind w:firstLineChars="200" w:firstLine="560"/>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具备《采购公告》中</w:t>
      </w:r>
      <w:r>
        <w:rPr>
          <w:rFonts w:eastAsia="方正仿宋_GBK"/>
          <w:color w:val="000000"/>
          <w:sz w:val="28"/>
          <w:szCs w:val="28"/>
        </w:rPr>
        <w:t>报价人资格</w:t>
      </w:r>
      <w:r>
        <w:rPr>
          <w:rFonts w:eastAsia="方正仿宋_GBK" w:hint="eastAsia"/>
          <w:color w:val="000000"/>
          <w:sz w:val="28"/>
          <w:szCs w:val="28"/>
        </w:rPr>
        <w:t>，通过审查不足3家的应废标，采购人</w:t>
      </w:r>
      <w:r>
        <w:rPr>
          <w:rFonts w:eastAsia="方正仿宋_GBK"/>
          <w:color w:val="000000"/>
          <w:sz w:val="28"/>
          <w:szCs w:val="28"/>
        </w:rPr>
        <w:t>重新组织</w:t>
      </w:r>
      <w:r>
        <w:rPr>
          <w:rFonts w:eastAsia="方正仿宋_GBK" w:hint="eastAsia"/>
          <w:color w:val="000000"/>
          <w:sz w:val="28"/>
          <w:szCs w:val="28"/>
        </w:rPr>
        <w:t>采购</w:t>
      </w:r>
      <w:r>
        <w:rPr>
          <w:rFonts w:eastAsia="方正仿宋_GBK"/>
          <w:color w:val="000000"/>
          <w:sz w:val="28"/>
          <w:szCs w:val="28"/>
        </w:rPr>
        <w:t>。</w:t>
      </w:r>
    </w:p>
    <w:p>
      <w:pPr>
        <w:spacing w:line="480" w:lineRule="exact"/>
        <w:ind w:left="64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5.供应商的法定代表人（主要负责人）身份证正反面复印件（必须提供）；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7.供应商基本情况介绍（格式自拟，必须提供）；</w:t>
      </w:r>
    </w:p>
    <w:p>
      <w:pPr>
        <w:spacing w:line="480" w:lineRule="exact"/>
        <w:ind w:leftChars="-1" w:left="-2" w:firstLineChars="221" w:firstLine="619"/>
        <w:rPr>
          <w:rFonts w:eastAsia="方正仿宋_GBK"/>
          <w:sz w:val="28"/>
          <w:szCs w:val="28"/>
        </w:rPr>
      </w:pPr>
      <w:r>
        <w:rPr>
          <w:rFonts w:eastAsia="方正仿宋_GBK"/>
          <w:sz w:val="28"/>
          <w:szCs w:val="28"/>
        </w:rPr>
        <w:t>8.项目服务方案（格式自拟，必须提供）；</w:t>
      </w:r>
    </w:p>
    <w:p>
      <w:pPr>
        <w:spacing w:line="480" w:lineRule="exact"/>
        <w:ind w:leftChars="-1" w:left="-2" w:firstLineChars="221" w:firstLine="619"/>
        <w:rPr>
          <w:rFonts w:eastAsia="方正仿宋_GBK"/>
          <w:sz w:val="28"/>
          <w:szCs w:val="28"/>
        </w:rPr>
      </w:pPr>
      <w:r>
        <w:rPr>
          <w:rFonts w:eastAsia="方正仿宋_GBK"/>
          <w:sz w:val="28"/>
          <w:szCs w:val="28"/>
        </w:rPr>
        <w:t>9.近三年同类工作相关业绩（中标通知书或合同关键页复印件并加盖公章）；</w:t>
      </w:r>
    </w:p>
    <w:p>
      <w:pPr>
        <w:spacing w:line="480" w:lineRule="exact"/>
        <w:ind w:leftChars="-1" w:left="-2" w:firstLineChars="221" w:firstLine="619"/>
        <w:rPr>
          <w:rFonts w:ascii="方正仿宋_GBK" w:eastAsia="方正仿宋_GBK"/>
          <w:sz w:val="28"/>
          <w:szCs w:val="28"/>
        </w:rPr>
      </w:pPr>
      <w:r>
        <w:rPr>
          <w:rFonts w:eastAsia="方正仿宋_GBK" w:hint="eastAsia"/>
          <w:sz w:val="28"/>
          <w:szCs w:val="28"/>
        </w:rPr>
        <w:t>1</w:t>
      </w:r>
      <w:r>
        <w:rPr>
          <w:rFonts w:eastAsia="方正仿宋_GBK"/>
          <w:sz w:val="28"/>
          <w:szCs w:val="28"/>
        </w:rPr>
        <w:t>0</w:t>
      </w:r>
      <w:r>
        <w:rPr>
          <w:rFonts w:eastAsia="方正仿宋_GBK" w:hint="eastAsia"/>
          <w:sz w:val="28"/>
          <w:szCs w:val="28"/>
        </w:rPr>
        <w:t>.</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napToGrid w:val="0"/>
        <w:spacing w:line="480" w:lineRule="exact"/>
        <w:ind w:firstLineChars="196" w:firstLine="549"/>
        <w:jc w:val="left"/>
        <w:rPr>
          <w:rFonts w:ascii="仿宋_GB2312" w:eastAsia="仿宋_GB2312" w:cs="Courier New"/>
          <w:b/>
          <w:color w:val="000000"/>
          <w:sz w:val="28"/>
          <w:szCs w:val="28"/>
        </w:rPr>
      </w:pPr>
      <w:r>
        <w:rPr>
          <w:rFonts w:ascii="仿宋_GB2312" w:eastAsia="仿宋_GB2312" w:cs="Courier New" w:hint="eastAsia"/>
          <w:b/>
          <w:color w:val="000000"/>
          <w:sz w:val="28"/>
          <w:szCs w:val="28"/>
        </w:rPr>
        <w:t>（一）评审方法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8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485"/>
        <w:gridCol w:w="1121"/>
        <w:gridCol w:w="1260"/>
        <w:gridCol w:w="6131"/>
      </w:tblGrid>
      <w:tr>
        <w:trPr>
          <w:trHeight w:val="608"/>
        </w:trPr>
        <w:tc>
          <w:tcPr>
            <w:tcW w:w="485" w:type="dxa"/>
            <w:vAlign w:val="center"/>
          </w:tcPr>
          <w:p>
            <w:pPr>
              <w:jc w:val="center"/>
              <w:rPr>
                <w:rFonts w:ascii="宋体" w:cs="Arial"/>
                <w:b/>
                <w:sz w:val="24"/>
                <w:szCs w:val="24"/>
              </w:rPr>
            </w:pPr>
            <w:r>
              <w:rPr>
                <w:rFonts w:ascii="宋体" w:cs="Arial" w:hint="eastAsia"/>
                <w:b/>
                <w:sz w:val="24"/>
                <w:szCs w:val="24"/>
              </w:rPr>
              <w:t>序号</w:t>
            </w:r>
          </w:p>
        </w:tc>
        <w:tc>
          <w:tcPr>
            <w:tcW w:w="2381" w:type="dxa"/>
            <w:gridSpan w:val="2"/>
            <w:vAlign w:val="center"/>
          </w:tcPr>
          <w:p>
            <w:pPr>
              <w:jc w:val="center"/>
              <w:rPr>
                <w:rFonts w:ascii="宋体" w:cs="Arial"/>
                <w:b/>
                <w:sz w:val="24"/>
                <w:szCs w:val="24"/>
              </w:rPr>
            </w:pPr>
            <w:r>
              <w:rPr>
                <w:rFonts w:ascii="宋体" w:cs="Arial" w:hint="eastAsia"/>
                <w:b/>
                <w:sz w:val="24"/>
                <w:szCs w:val="24"/>
              </w:rPr>
              <w:t>评</w:t>
            </w:r>
            <w:r>
              <w:rPr>
                <w:rFonts w:ascii="宋体" w:cs="Arial"/>
                <w:b/>
                <w:sz w:val="24"/>
                <w:szCs w:val="24"/>
              </w:rPr>
              <w:t>分项</w:t>
            </w:r>
          </w:p>
        </w:tc>
        <w:tc>
          <w:tcPr>
            <w:tcW w:w="6131" w:type="dxa"/>
            <w:vAlign w:val="center"/>
          </w:tcPr>
          <w:p>
            <w:pPr>
              <w:jc w:val="center"/>
              <w:rPr>
                <w:rFonts w:ascii="宋体" w:cs="Arial"/>
                <w:b/>
                <w:sz w:val="24"/>
                <w:szCs w:val="24"/>
              </w:rPr>
            </w:pPr>
            <w:r>
              <w:rPr>
                <w:rFonts w:ascii="宋体" w:cs="Arial" w:hint="eastAsia"/>
                <w:b/>
                <w:sz w:val="24"/>
                <w:szCs w:val="24"/>
              </w:rPr>
              <w:t>评分标准</w:t>
            </w:r>
          </w:p>
        </w:tc>
      </w:tr>
      <w:tr>
        <w:trPr>
          <w:trHeight w:val="1405"/>
        </w:trPr>
        <w:tc>
          <w:tcPr>
            <w:tcW w:w="485"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2381" w:type="dxa"/>
            <w:gridSpan w:val="2"/>
            <w:vAlign w:val="center"/>
          </w:tcPr>
          <w:p>
            <w:pPr>
              <w:spacing w:line="400" w:lineRule="exact"/>
              <w:jc w:val="center"/>
              <w:rPr>
                <w:rFonts w:eastAsia="方正仿宋_GBK" w:cs="宋体"/>
                <w:b/>
                <w:bCs/>
                <w:sz w:val="24"/>
              </w:rPr>
            </w:pPr>
            <w:r>
              <w:rPr>
                <w:rFonts w:eastAsia="方正仿宋_GBK" w:cs="宋体" w:hint="eastAsia"/>
                <w:b/>
                <w:bCs/>
                <w:sz w:val="24"/>
              </w:rPr>
              <w:t>价格</w:t>
            </w:r>
            <w:r>
              <w:rPr>
                <w:rFonts w:eastAsia="方正仿宋_GBK" w:cs="宋体"/>
                <w:b/>
                <w:bCs/>
                <w:sz w:val="24"/>
              </w:rPr>
              <w:t>分</w:t>
            </w:r>
          </w:p>
          <w:p>
            <w:pPr>
              <w:spacing w:line="400" w:lineRule="exact"/>
              <w:ind w:firstLineChars="50" w:firstLine="120"/>
              <w:jc w:val="center"/>
              <w:rPr>
                <w:rFonts w:ascii="宋体" w:eastAsia="宋体" w:cs="Arial"/>
                <w:sz w:val="24"/>
                <w:szCs w:val="24"/>
              </w:rPr>
            </w:pPr>
            <w:r>
              <w:rPr>
                <w:rFonts w:ascii="宋体" w:eastAsia="宋体" w:cs="Arial" w:hint="eastAsia"/>
                <w:b/>
                <w:bCs/>
                <w:sz w:val="24"/>
                <w:szCs w:val="24"/>
              </w:rPr>
              <w:t>（</w:t>
            </w:r>
            <w:r>
              <w:rPr>
                <w:rFonts w:ascii="宋体" w:eastAsia="宋体" w:cs="Arial"/>
                <w:b/>
                <w:bCs/>
                <w:sz w:val="24"/>
                <w:szCs w:val="24"/>
              </w:rPr>
              <w:t>20</w:t>
            </w:r>
            <w:r>
              <w:rPr>
                <w:rFonts w:ascii="宋体" w:eastAsia="宋体" w:cs="Arial" w:hint="eastAsia"/>
                <w:b/>
                <w:bCs/>
                <w:sz w:val="24"/>
                <w:szCs w:val="24"/>
              </w:rPr>
              <w:t>分）</w:t>
            </w:r>
          </w:p>
        </w:tc>
        <w:tc>
          <w:tcPr>
            <w:tcW w:w="6131" w:type="dxa"/>
            <w:vAlign w:val="center"/>
          </w:tcPr>
          <w:p>
            <w:pPr>
              <w:spacing w:line="400" w:lineRule="exact"/>
              <w:rPr>
                <w:rFonts w:ascii="宋体" w:eastAsia="宋体" w:cs="宋体" w:hint="eastAsia"/>
                <w:color w:val="000000"/>
                <w:kern w:val="0"/>
                <w:sz w:val="24"/>
                <w:szCs w:val="24"/>
              </w:rPr>
            </w:pPr>
            <w:r>
              <w:rPr>
                <w:rFonts w:ascii="宋体" w:eastAsia="宋体" w:cs="宋体"/>
                <w:color w:val="000000"/>
                <w:kern w:val="0"/>
                <w:sz w:val="24"/>
                <w:szCs w:val="24"/>
              </w:rPr>
              <w:t>根据供应商提供的服务收费报价进行评定。</w:t>
            </w:r>
          </w:p>
          <w:p>
            <w:pPr>
              <w:spacing w:line="400" w:lineRule="exact"/>
              <w:rPr>
                <w:rFonts w:ascii="宋体" w:eastAsia="宋体" w:cs="Arial" w:hint="eastAsia"/>
                <w:sz w:val="24"/>
                <w:szCs w:val="24"/>
              </w:rPr>
            </w:pPr>
            <w:r>
              <w:rPr>
                <w:rFonts w:ascii="宋体" w:eastAsia="宋体" w:cs="Arial" w:hint="eastAsia"/>
                <w:sz w:val="24"/>
                <w:szCs w:val="24"/>
              </w:rPr>
              <w:t>（1）以进入评审的最低的报价为20分。</w:t>
            </w:r>
          </w:p>
          <w:p>
            <w:pPr>
              <w:spacing w:line="400" w:lineRule="exact"/>
              <w:rPr>
                <w:rFonts w:ascii="宋体" w:eastAsia="宋体" w:cs="Arial"/>
                <w:sz w:val="24"/>
                <w:szCs w:val="24"/>
              </w:rPr>
            </w:pPr>
            <w:r>
              <w:rPr>
                <w:rFonts w:ascii="宋体" w:eastAsia="宋体" w:cs="Arial" w:hint="eastAsia"/>
                <w:sz w:val="24"/>
                <w:szCs w:val="24"/>
              </w:rPr>
              <w:t>（2）某供应商某</w:t>
            </w:r>
            <w:r>
              <w:rPr>
                <w:rFonts w:ascii="宋体" w:eastAsia="宋体" w:cs="Arial"/>
                <w:sz w:val="24"/>
                <w:szCs w:val="24"/>
              </w:rPr>
              <w:t>项</w:t>
            </w:r>
            <w:r>
              <w:rPr>
                <w:rFonts w:ascii="宋体" w:eastAsia="宋体" w:cs="Arial" w:hint="eastAsia"/>
                <w:sz w:val="24"/>
                <w:szCs w:val="24"/>
              </w:rPr>
              <w:t>价格分=供应商该</w:t>
            </w:r>
            <w:r>
              <w:rPr>
                <w:rFonts w:ascii="宋体" w:eastAsia="宋体" w:cs="Arial"/>
                <w:sz w:val="24"/>
                <w:szCs w:val="24"/>
              </w:rPr>
              <w:t>项</w:t>
            </w:r>
            <w:r>
              <w:rPr>
                <w:rFonts w:ascii="宋体" w:eastAsia="宋体" w:cs="Arial" w:hint="eastAsia"/>
                <w:sz w:val="24"/>
                <w:szCs w:val="24"/>
              </w:rPr>
              <w:t>最低的协商报价（金额）/某供应商该</w:t>
            </w:r>
            <w:r>
              <w:rPr>
                <w:rFonts w:ascii="宋体" w:eastAsia="宋体" w:cs="Arial"/>
                <w:sz w:val="24"/>
                <w:szCs w:val="24"/>
              </w:rPr>
              <w:t>项</w:t>
            </w:r>
            <w:r>
              <w:rPr>
                <w:rFonts w:ascii="宋体" w:eastAsia="宋体" w:cs="Arial" w:hint="eastAsia"/>
                <w:sz w:val="24"/>
                <w:szCs w:val="24"/>
              </w:rPr>
              <w:t>协商报价（金额）×2</w:t>
            </w:r>
            <w:r>
              <w:rPr>
                <w:rFonts w:ascii="宋体" w:eastAsia="宋体" w:cs="Arial"/>
                <w:sz w:val="24"/>
                <w:szCs w:val="24"/>
              </w:rPr>
              <w:t>0</w:t>
            </w:r>
            <w:r>
              <w:rPr>
                <w:rFonts w:ascii="宋体" w:eastAsia="宋体" w:cs="Arial" w:hint="eastAsia"/>
                <w:sz w:val="24"/>
                <w:szCs w:val="24"/>
              </w:rPr>
              <w:t>分。</w:t>
            </w:r>
          </w:p>
          <w:p>
            <w:pPr>
              <w:spacing w:line="400" w:lineRule="exact"/>
              <w:rPr>
                <w:rFonts w:ascii="宋体" w:eastAsia="宋体" w:cs="Arial"/>
                <w:sz w:val="24"/>
                <w:szCs w:val="24"/>
              </w:rPr>
            </w:pPr>
            <w:r>
              <w:rPr>
                <w:rFonts w:ascii="宋体" w:eastAsia="宋体" w:cs="Arial"/>
                <w:sz w:val="24"/>
                <w:szCs w:val="24"/>
              </w:rPr>
              <w:t>（3）</w:t>
            </w:r>
            <w:r>
              <w:rPr>
                <w:rFonts w:ascii="宋体" w:eastAsia="宋体" w:cs="Arial" w:hint="eastAsia"/>
                <w:sz w:val="24"/>
                <w:szCs w:val="24"/>
              </w:rPr>
              <w:t>综合价格得分=</w:t>
            </w:r>
            <w:r>
              <w:rPr>
                <w:rFonts w:ascii="宋体" w:eastAsia="宋体" w:cs="Arial"/>
                <w:sz w:val="24"/>
                <w:szCs w:val="24"/>
              </w:rPr>
              <w:t>按面积收费</w:t>
            </w:r>
            <w:r>
              <w:rPr>
                <w:rFonts w:ascii="宋体" w:eastAsia="宋体" w:cs="Arial" w:hint="eastAsia"/>
                <w:sz w:val="24"/>
                <w:szCs w:val="24"/>
              </w:rPr>
              <w:t>价格得分×</w:t>
            </w:r>
            <w:r>
              <w:rPr>
                <w:rFonts w:ascii="宋体" w:eastAsia="宋体" w:cs="Arial"/>
                <w:sz w:val="24"/>
                <w:szCs w:val="24"/>
              </w:rPr>
              <w:t>5</w:t>
            </w:r>
            <w:r>
              <w:rPr>
                <w:rFonts w:ascii="宋体" w:eastAsia="宋体" w:cs="Arial" w:hint="eastAsia"/>
                <w:sz w:val="24"/>
                <w:szCs w:val="24"/>
              </w:rPr>
              <w:t>0%＋</w:t>
            </w:r>
            <w:r>
              <w:rPr>
                <w:rFonts w:ascii="宋体" w:eastAsia="宋体" w:cs="Arial"/>
                <w:sz w:val="24"/>
                <w:szCs w:val="24"/>
              </w:rPr>
              <w:t>按重量收费</w:t>
            </w:r>
            <w:r>
              <w:rPr>
                <w:rFonts w:ascii="宋体" w:eastAsia="宋体" w:cs="Arial" w:hint="eastAsia"/>
                <w:sz w:val="24"/>
                <w:szCs w:val="24"/>
              </w:rPr>
              <w:t>价格得分×</w:t>
            </w:r>
            <w:r>
              <w:rPr>
                <w:rFonts w:ascii="宋体" w:eastAsia="宋体" w:cs="Arial"/>
                <w:sz w:val="24"/>
                <w:szCs w:val="24"/>
              </w:rPr>
              <w:t>5</w:t>
            </w:r>
            <w:r>
              <w:rPr>
                <w:rFonts w:ascii="宋体" w:eastAsia="宋体" w:cs="Arial" w:hint="eastAsia"/>
                <w:sz w:val="24"/>
                <w:szCs w:val="24"/>
              </w:rPr>
              <w:t>0%。</w:t>
            </w:r>
          </w:p>
        </w:tc>
      </w:tr>
      <w:tr>
        <w:trPr>
          <w:trHeight w:val="3589"/>
        </w:trPr>
        <w:tc>
          <w:tcPr>
            <w:tcW w:w="485" w:type="dxa"/>
            <w:vAlign w:val="center"/>
          </w:tcPr>
          <w:p>
            <w:pPr>
              <w:spacing w:line="400" w:lineRule="exact"/>
              <w:jc w:val="center"/>
              <w:rPr>
                <w:rFonts w:ascii="宋体" w:eastAsia="宋体" w:cs="Arial"/>
                <w:sz w:val="24"/>
                <w:szCs w:val="24"/>
              </w:rPr>
            </w:pPr>
          </w:p>
        </w:tc>
        <w:tc>
          <w:tcPr>
            <w:tcW w:w="1121" w:type="dxa"/>
            <w:vMerge w:val="restart"/>
            <w:vAlign w:val="center"/>
          </w:tcPr>
          <w:p>
            <w:pPr>
              <w:spacing w:line="400" w:lineRule="exact"/>
              <w:jc w:val="center"/>
              <w:rPr>
                <w:rFonts w:eastAsia="方正仿宋_GBK" w:cs="宋体"/>
                <w:b/>
                <w:bCs/>
                <w:sz w:val="24"/>
              </w:rPr>
            </w:pPr>
            <w:r>
              <w:rPr>
                <w:rFonts w:eastAsia="方正仿宋_GBK" w:cs="宋体"/>
                <w:b/>
                <w:bCs/>
                <w:sz w:val="24"/>
              </w:rPr>
              <w:t>技术分</w:t>
            </w:r>
          </w:p>
          <w:p>
            <w:pPr>
              <w:spacing w:line="400" w:lineRule="exact"/>
              <w:jc w:val="center"/>
              <w:rPr>
                <w:rFonts w:eastAsia="方正仿宋_GBK" w:cs="宋体"/>
                <w:b/>
                <w:bCs/>
                <w:sz w:val="24"/>
              </w:rPr>
            </w:pPr>
            <w:r>
              <w:rPr>
                <w:rFonts w:eastAsia="方正仿宋_GBK" w:cs="宋体"/>
                <w:b/>
                <w:bCs/>
                <w:sz w:val="24"/>
              </w:rPr>
              <w:t>（70分）</w:t>
            </w:r>
          </w:p>
        </w:tc>
        <w:tc>
          <w:tcPr>
            <w:tcW w:w="1260" w:type="dxa"/>
            <w:vAlign w:val="center"/>
          </w:tcPr>
          <w:p>
            <w:pPr>
              <w:spacing w:line="400" w:lineRule="exact"/>
              <w:jc w:val="center"/>
              <w:rPr>
                <w:rFonts w:eastAsia="方正仿宋_GBK" w:cs="宋体"/>
                <w:b/>
                <w:bCs/>
                <w:sz w:val="24"/>
              </w:rPr>
            </w:pPr>
            <w:r>
              <w:rPr>
                <w:rFonts w:eastAsia="方正仿宋_GBK" w:cs="宋体"/>
                <w:b/>
                <w:bCs/>
                <w:sz w:val="24"/>
              </w:rPr>
              <w:t>硬件条件</w:t>
            </w:r>
          </w:p>
          <w:p>
            <w:pPr>
              <w:spacing w:line="400" w:lineRule="exact"/>
              <w:jc w:val="center"/>
              <w:rPr>
                <w:rFonts w:eastAsia="方正仿宋_GBK" w:cs="宋体"/>
                <w:b/>
                <w:bCs/>
                <w:sz w:val="24"/>
              </w:rPr>
            </w:pPr>
            <w:r>
              <w:rPr>
                <w:rFonts w:eastAsia="方正仿宋_GBK" w:cs="宋体"/>
                <w:b/>
                <w:bCs/>
                <w:sz w:val="24"/>
              </w:rPr>
              <w:t>（20分）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由协商小组依据供应商响应文件的外部配套设施、内部延展设施等配置及建设标准等进行评分。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仓库硬件基本满足采购需求中对仓库硬件建设要求，得10分。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仓储企业区域设有围墙与外部分开，仓库内设置有互相独立的货物进出通道与人员进出通道，配置有温湿度监测调节、地磅、叉车、托盘等设备，得6分，缺一项扣1分。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视频监控系统录像存储满足6个月以上，可通过互联网授权进行实时查看及回放，得4分，缺一项扣2分。</w:t>
            </w:r>
          </w:p>
        </w:tc>
      </w:tr>
      <w:tr>
        <w:trPr>
          <w:trHeight w:val="4789"/>
        </w:trPr>
        <w:tc>
          <w:tcPr>
            <w:tcW w:w="485" w:type="dxa"/>
            <w:vMerge w:val="restart"/>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121" w:type="dxa"/>
            <w:vMerge/>
            <w:vAlign w:val="center"/>
          </w:tcPr>
          <w:p/>
        </w:tc>
        <w:tc>
          <w:tcPr>
            <w:tcW w:w="1260" w:type="dxa"/>
            <w:vAlign w:val="center"/>
          </w:tcPr>
          <w:p>
            <w:pPr>
              <w:spacing w:line="400" w:lineRule="exact"/>
              <w:jc w:val="center"/>
              <w:rPr>
                <w:rFonts w:eastAsia="方正仿宋_GBK" w:cs="宋体"/>
                <w:b/>
                <w:bCs/>
                <w:sz w:val="24"/>
              </w:rPr>
            </w:pPr>
            <w:r>
              <w:rPr>
                <w:rFonts w:eastAsia="方正仿宋_GBK" w:cs="宋体"/>
                <w:b/>
                <w:bCs/>
                <w:sz w:val="24"/>
              </w:rPr>
              <w:t>服务方案</w:t>
            </w:r>
          </w:p>
          <w:p>
            <w:pPr>
              <w:spacing w:line="400" w:lineRule="exact"/>
              <w:jc w:val="center"/>
              <w:rPr>
                <w:rFonts w:ascii="宋体" w:eastAsia="宋体" w:cs="宋体"/>
                <w:b/>
                <w:bCs/>
                <w:sz w:val="24"/>
                <w:szCs w:val="24"/>
              </w:rPr>
            </w:pPr>
            <w:r>
              <w:rPr>
                <w:rFonts w:ascii="宋体" w:eastAsia="宋体" w:cs="Arial" w:hint="eastAsia"/>
                <w:b/>
                <w:bCs/>
                <w:sz w:val="24"/>
                <w:szCs w:val="24"/>
              </w:rPr>
              <w:t>（</w:t>
            </w:r>
            <w:r>
              <w:rPr>
                <w:rFonts w:ascii="宋体" w:eastAsia="宋体" w:cs="Arial"/>
                <w:b/>
                <w:bCs/>
                <w:sz w:val="24"/>
                <w:szCs w:val="24"/>
              </w:rPr>
              <w:t>15</w:t>
            </w:r>
            <w:r>
              <w:rPr>
                <w:rFonts w:ascii="宋体" w:eastAsia="宋体" w:cs="Arial" w:hint="eastAsia"/>
                <w:b/>
                <w:bCs/>
                <w:sz w:val="24"/>
                <w:szCs w:val="24"/>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由协商小组依据供应商响应文件中的保证项目实施的实施方案、技术力量和人力资源安排、技术服务等服务内容和措施进行打分。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一档（1-5分）：项目实施方案简单，保证项目实施的技术力量和人力资源安排等措施一般。</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二档（6-10分）：项目实施方案较详细，保证项目实施的技术力量和人力资源安排满足项目实施要求，服务内容和措施较完善。</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三档（11-15分）：项目实施方案详实，保证项目实施的技术力量和人力资源安排充足，服务内容和措施完善，方案完善有效且更优化、切实可行。</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注：未提供项目实施方案的本项不予计分。</w:t>
            </w:r>
          </w:p>
        </w:tc>
      </w:tr>
      <w:tr>
        <w:trPr>
          <w:trHeight w:val="3990"/>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eastAsia="方正仿宋_GBK" w:cs="宋体"/>
                <w:b/>
                <w:bCs/>
                <w:sz w:val="24"/>
              </w:rPr>
            </w:pPr>
            <w:r>
              <w:rPr>
                <w:rFonts w:eastAsia="方正仿宋_GBK" w:cs="宋体"/>
                <w:b/>
                <w:bCs/>
                <w:sz w:val="24"/>
              </w:rPr>
              <w:t>管理制度</w:t>
            </w:r>
          </w:p>
          <w:p>
            <w:pPr>
              <w:spacing w:line="400" w:lineRule="exact"/>
              <w:jc w:val="center"/>
              <w:rPr>
                <w:rFonts w:eastAsia="方正仿宋_GBK" w:cs="宋体"/>
                <w:b/>
                <w:bCs/>
                <w:sz w:val="24"/>
              </w:rPr>
            </w:pPr>
            <w:r>
              <w:rPr>
                <w:rFonts w:eastAsia="方正仿宋_GBK" w:cs="宋体"/>
                <w:b/>
                <w:bCs/>
                <w:sz w:val="24"/>
              </w:rPr>
              <w:t>（20分）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由协商小组依据供应商响应文件中的内部管理架构、岗位责任、管理维护运作制度及标准、管理人员考核制度及标准等进行评分。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一档（1-7分）：供应商制定并施行的有关管理规章、制度和办法较少，且合理性和可行性一般的。</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二档（8-14分）：供应商制定并施行的有关管理规章、制度和办法比较多，且具有较高的合理性和可行性的。</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三档（15-20分）：供应商制定并施行的有关管理规章、制度和办法齐全和完善，且合理性和可行性程度强的。</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注：未提供管理制度的本项不予计分。</w:t>
            </w:r>
          </w:p>
        </w:tc>
      </w:tr>
      <w:tr>
        <w:trPr>
          <w:trHeight w:val="3589"/>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ascii="宋体" w:eastAsia="宋体" w:cs="宋体"/>
                <w:b/>
                <w:bCs/>
                <w:sz w:val="24"/>
                <w:szCs w:val="24"/>
              </w:rPr>
            </w:pPr>
            <w:r>
              <w:rPr>
                <w:rFonts w:eastAsia="方正仿宋_GBK" w:cs="宋体"/>
                <w:b/>
                <w:bCs/>
                <w:sz w:val="24"/>
              </w:rPr>
              <w:t>应急能力</w:t>
            </w:r>
          </w:p>
          <w:p>
            <w:pPr>
              <w:spacing w:line="400" w:lineRule="exact"/>
              <w:jc w:val="center"/>
              <w:rPr>
                <w:rFonts w:eastAsia="方正仿宋_GBK" w:cs="宋体"/>
                <w:b/>
                <w:bCs/>
                <w:sz w:val="24"/>
              </w:rPr>
            </w:pPr>
            <w:r>
              <w:rPr>
                <w:rFonts w:ascii="宋体" w:eastAsia="宋体" w:cs="Arial" w:hint="eastAsia"/>
                <w:b/>
                <w:bCs/>
                <w:sz w:val="24"/>
                <w:szCs w:val="24"/>
              </w:rPr>
              <w:t>（</w:t>
            </w:r>
            <w:r>
              <w:rPr>
                <w:rFonts w:ascii="宋体" w:eastAsia="宋体" w:cs="Arial"/>
                <w:b/>
                <w:bCs/>
                <w:sz w:val="24"/>
                <w:szCs w:val="24"/>
              </w:rPr>
              <w:t>15</w:t>
            </w:r>
            <w:r>
              <w:rPr>
                <w:rFonts w:ascii="宋体" w:eastAsia="宋体" w:cs="Arial" w:hint="eastAsia"/>
                <w:b/>
                <w:bCs/>
                <w:sz w:val="24"/>
                <w:szCs w:val="24"/>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由协商小组依据供应商响应文件中的应急预案、应急设备等方面进行评分。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一档（1-5分）：应急设备不全，应急预案一般，应急响应一般，应急演练未落实；；</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二档（6-10分）：应急设备较齐全，应急预案较完善，应急响应较快，应急演练有落实；</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三档（11-15分）：应急设备齐全，应急预案详细具体、有保证，应急响应迅速，应急演练扎实有效。</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注：未提供应急预案的本项不予计分。</w:t>
            </w:r>
          </w:p>
        </w:tc>
      </w:tr>
      <w:tr>
        <w:trPr>
          <w:trHeight w:val="444"/>
        </w:trPr>
        <w:tc>
          <w:tcPr>
            <w:tcW w:w="485" w:type="dxa"/>
            <w:vAlign w:val="center"/>
          </w:tcPr>
          <w:p>
            <w:pPr>
              <w:spacing w:line="400" w:lineRule="exact"/>
              <w:jc w:val="center"/>
              <w:rPr>
                <w:rFonts w:ascii="宋体" w:eastAsia="宋体" w:cs="Arial"/>
                <w:sz w:val="24"/>
                <w:szCs w:val="24"/>
              </w:rPr>
            </w:pPr>
            <w:r>
              <w:rPr>
                <w:rFonts w:ascii="宋体" w:eastAsia="宋体" w:cs="Arial"/>
                <w:sz w:val="24"/>
                <w:szCs w:val="24"/>
              </w:rPr>
              <w:t>3</w:t>
            </w:r>
          </w:p>
        </w:tc>
        <w:tc>
          <w:tcPr>
            <w:tcW w:w="2381" w:type="dxa"/>
            <w:gridSpan w:val="2"/>
            <w:tcBorders>
              <w:left w:val="single" w:sz="4" w:space="0" w:color="auto"/>
            </w:tcBorders>
            <w:vAlign w:val="center"/>
          </w:tcPr>
          <w:p>
            <w:pPr>
              <w:spacing w:line="400" w:lineRule="exact"/>
              <w:jc w:val="center"/>
              <w:rPr>
                <w:rFonts w:ascii="宋体" w:eastAsia="宋体" w:cs="宋体"/>
                <w:b/>
                <w:bCs/>
                <w:sz w:val="24"/>
                <w:szCs w:val="24"/>
              </w:rPr>
            </w:pPr>
            <w:r>
              <w:rPr>
                <w:rFonts w:eastAsia="方正仿宋_GBK" w:cs="宋体"/>
                <w:b/>
                <w:bCs/>
                <w:sz w:val="24"/>
              </w:rPr>
              <w:t>商务分</w:t>
            </w:r>
            <w:r>
              <w:rPr>
                <w:rFonts w:ascii="宋体" w:eastAsia="宋体" w:cs="宋体" w:hint="eastAsia"/>
                <w:b/>
                <w:bCs/>
                <w:sz w:val="24"/>
                <w:szCs w:val="24"/>
              </w:rPr>
              <w:t>（</w:t>
            </w:r>
            <w:r>
              <w:rPr>
                <w:rFonts w:ascii="宋体" w:eastAsia="宋体" w:cs="宋体"/>
                <w:b/>
                <w:bCs/>
                <w:sz w:val="24"/>
                <w:szCs w:val="24"/>
              </w:rPr>
              <w:t>10</w:t>
            </w:r>
            <w:r>
              <w:rPr>
                <w:rFonts w:ascii="宋体" w:eastAsia="宋体" w:cs="宋体" w:hint="eastAsia"/>
                <w:b/>
                <w:bCs/>
                <w:sz w:val="24"/>
                <w:szCs w:val="24"/>
              </w:rPr>
              <w:t>分）</w:t>
            </w:r>
          </w:p>
        </w:tc>
        <w:tc>
          <w:tcPr>
            <w:tcW w:w="6131" w:type="dxa"/>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自2023年1月1日以来，供应商具有同类项目业绩的每个得5分，满分10分。</w:t>
            </w:r>
            <w:r>
              <w:rPr>
                <w:rFonts w:ascii="宋体" w:eastAsia="宋体" w:cs="宋体" w:hint="eastAsia"/>
                <w:color w:val="000000"/>
                <w:kern w:val="0"/>
                <w:sz w:val="24"/>
                <w:szCs w:val="24"/>
              </w:rPr>
              <w:t>此项满分</w:t>
            </w:r>
            <w:r>
              <w:rPr>
                <w:rFonts w:ascii="宋体" w:eastAsia="宋体" w:cs="宋体"/>
                <w:color w:val="000000"/>
                <w:kern w:val="0"/>
                <w:sz w:val="24"/>
                <w:szCs w:val="24"/>
              </w:rPr>
              <w:t>10</w:t>
            </w:r>
            <w:r>
              <w:rPr>
                <w:rFonts w:ascii="宋体" w:eastAsia="宋体" w:cs="宋体" w:hint="eastAsia"/>
                <w:color w:val="000000"/>
                <w:kern w:val="0"/>
                <w:sz w:val="24"/>
                <w:szCs w:val="24"/>
              </w:rPr>
              <w:t>分（业绩证明材料要求：中标（成交）通知书或合同关键页复印件并加盖公章）。</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w:t>
      </w:r>
      <w:r>
        <w:rPr>
          <w:rFonts w:ascii="方正仿宋_GBK" w:eastAsia="方正仿宋_GBK"/>
          <w:color w:val="000000"/>
          <w:sz w:val="28"/>
          <w:szCs w:val="28"/>
        </w:rPr>
        <w:t>价格分、技术分、商务分</w:t>
      </w:r>
      <w:r>
        <w:rPr>
          <w:rFonts w:ascii="方正仿宋_GBK" w:eastAsia="方正仿宋_GBK" w:hint="eastAsia"/>
          <w:color w:val="000000"/>
          <w:sz w:val="28"/>
          <w:szCs w:val="28"/>
        </w:rPr>
        <w:t>的顺序排列），并依照次序确定/推荐成交候选人。</w:t>
      </w:r>
    </w:p>
    <w:p>
      <w:pPr>
        <w:spacing w:line="480" w:lineRule="exact"/>
        <w:ind w:firstLine="630"/>
        <w:rPr>
          <w:rFonts w:eastAsia="方正仿宋_GBK"/>
          <w:sz w:val="28"/>
          <w:szCs w:val="28"/>
        </w:rPr>
      </w:pPr>
      <w:r>
        <w:rPr>
          <w:rFonts w:eastAsia="方正黑体_GBK" w:hint="eastAsia"/>
          <w:color w:val="000000"/>
          <w:sz w:val="28"/>
          <w:szCs w:val="28"/>
        </w:rPr>
        <w:t>六</w:t>
      </w:r>
      <w:r>
        <w:rPr>
          <w:rFonts w:eastAsia="方正黑体_GBK"/>
          <w:color w:val="000000"/>
          <w:sz w:val="28"/>
          <w:szCs w:val="28"/>
        </w:rPr>
        <w:t>、评审地点</w:t>
      </w:r>
      <w:r>
        <w:rPr>
          <w:rFonts w:eastAsia="方正仿宋_GBK"/>
          <w:color w:val="000000"/>
          <w:sz w:val="28"/>
          <w:szCs w:val="28"/>
        </w:rPr>
        <w:t>：钦州港</w:t>
      </w:r>
      <w:r>
        <w:rPr>
          <w:rFonts w:eastAsia="方正仿宋_GBK" w:hint="eastAsia"/>
          <w:color w:val="000000"/>
          <w:sz w:val="28"/>
          <w:szCs w:val="28"/>
        </w:rPr>
        <w:t>海关</w:t>
      </w:r>
      <w:r>
        <w:rPr>
          <w:rFonts w:eastAsia="方正仿宋_GBK"/>
          <w:color w:val="000000"/>
          <w:sz w:val="28"/>
          <w:szCs w:val="28"/>
        </w:rPr>
        <w:t>业务技术用房A座615</w:t>
      </w:r>
      <w:r>
        <w:rPr>
          <w:rFonts w:eastAsia="方正仿宋_GBK"/>
          <w:sz w:val="28"/>
          <w:szCs w:val="28"/>
        </w:rPr>
        <w:t>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汉仪仿宋简"/>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Times New Roman">
    <w:altName w:val="DejaVu Sans"/>
    <w:panose1 w:val="02020603050405020304"/>
    <w:charset w:val="00"/>
    <w:family w:val="roman"/>
    <w:pitch w:val="variable"/>
    <w:sig w:usb0="E0002AFF" w:usb1="C0007841" w:usb2="00000009" w:usb3="00000000" w:csb0="000001FF" w:csb1="00000000"/>
  </w:font>
  <w:font w:name="方正兰亭黑_GBK">
    <w:altName w:val="华文仿宋"/>
    <w:panose1 w:val="02000000000000000000"/>
    <w:charset w:val="86"/>
    <w:family w:val="script"/>
    <w:pitch w:val="variable"/>
    <w:sig w:usb0="A00002BF" w:usb1="3ACF7CFA" w:usb2="00080016" w:usb3="00000000" w:csb0="00040001" w:csb1="00000000"/>
  </w:font>
  <w:font w:name="黑体">
    <w:altName w:val="方正黑体_GBK"/>
    <w:panose1 w:val="00000000000000000000"/>
    <w:charset w:val="00"/>
    <w:family w:val="auto"/>
    <w:pitch w:val="variable"/>
    <w:sig w:usb0="00000000" w:usb1="00000000" w:usb2="00000000" w:usb3="00000000" w:csb0="00000000" w:csb1="00000000"/>
  </w:font>
  <w:font w:name="微软雅黑">
    <w:altName w:val="汉仪行楷简"/>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样式 22 10 磅"/>
    <w:pPr>
      <w:widowControl w:val="0"/>
      <w:jc w:val="both"/>
    </w:pPr>
    <w:rPr>
      <w:rFonts w:ascii="Calibri" w:eastAsia="宋体" w:cs="Times New Roman" w:hAnsi="Calibri"/>
      <w:kern w:val="2"/>
      <w:sz w:val="21"/>
      <w:szCs w:val="24"/>
      <w:lang w:val="en-US" w:eastAsia="zh-CN" w:bidi="ar-SA"/>
    </w:rPr>
  </w:style>
  <w:style w:type="paragraph" w:customStyle="1" w:styleId="22">
    <w:name w:val="样式 三号"/>
    <w:pPr>
      <w:spacing w:line="560" w:lineRule="exact"/>
      <w:ind w:firstLineChars="200" w:firstLine="200"/>
    </w:pPr>
    <w:rPr>
      <w:rFonts w:ascii="Times New Roman" w:eastAsia="方正仿宋_GBK" w:cs="Times New Roman" w:hAnsi="Times New Roman"/>
      <w:kern w:val="0"/>
      <w:sz w:val="32"/>
      <w:szCs w:val="22"/>
      <w:lang w:val="en-US" w:eastAsia="zh-CN" w:bidi="en-US"/>
    </w:rPr>
  </w:style>
  <w:style w:type="paragraph" w:customStyle="1" w:styleId="23">
    <w:name w:val="样式 2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1036</TotalTime>
  <Application>Yozo_Office</Application>
  <Pages>4</Pages>
  <Words>2068</Words>
  <Characters>2135</Characters>
  <Lines>123</Lines>
  <Paragraphs>80</Paragraphs>
  <CharactersWithSpaces>2136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王铖堃</cp:lastModifiedBy>
  <cp:revision>23</cp:revision>
  <cp:lastPrinted>2022-04-12T09:32:00Z</cp:lastPrinted>
  <dcterms:created xsi:type="dcterms:W3CDTF">2022-08-23T09:15:00Z</dcterms:created>
  <dcterms:modified xsi:type="dcterms:W3CDTF">2026-01-22T02:34:55Z</dcterms:modified>
</cp:coreProperties>
</file>