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40" w:lineRule="exact"/>
        <w:jc w:val="center"/>
        <w:rPr>
          <w:rFonts w:eastAsia="方正小标宋_GBK"/>
          <w:bCs/>
          <w:color w:val="000000"/>
          <w:sz w:val="32"/>
          <w:szCs w:val="32"/>
        </w:rPr>
      </w:pPr>
      <w:r>
        <w:rPr>
          <w:rFonts w:eastAsia="方正小标宋_GBK"/>
          <w:bCs/>
          <w:color w:val="000000"/>
          <w:sz w:val="32"/>
          <w:szCs w:val="32"/>
        </w:rPr>
        <w:t>评审办法</w:t>
      </w:r>
    </w:p>
    <w:p>
      <w:pPr>
        <w:spacing w:line="540" w:lineRule="exact"/>
        <w:jc w:val="center"/>
        <w:rPr>
          <w:rFonts w:eastAsia="方正小标宋_GBK"/>
          <w:bCs/>
          <w:color w:val="000000"/>
          <w:sz w:val="28"/>
          <w:szCs w:val="28"/>
        </w:rPr>
      </w:pPr>
      <w:r>
        <w:rPr>
          <w:rFonts w:eastAsia="方正小标宋_GBK"/>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eastAsia="方正黑体_GBK"/>
          <w:b/>
          <w:color w:val="000000"/>
          <w:sz w:val="28"/>
          <w:szCs w:val="28"/>
        </w:rPr>
        <w:t>响应文件送达及密封检查</w:t>
      </w:r>
    </w:p>
    <w:p>
      <w:pPr>
        <w:spacing w:line="480" w:lineRule="exact"/>
        <w:ind w:firstLineChars="200" w:firstLine="560"/>
        <w:rPr>
          <w:rFonts w:eastAsia="方正楷体_GBK"/>
          <w:b/>
          <w:color w:val="000000"/>
          <w:sz w:val="28"/>
          <w:szCs w:val="28"/>
        </w:rPr>
      </w:pPr>
      <w:r>
        <w:rPr>
          <w:rFonts w:eastAsia="方正楷体_GBK"/>
          <w:b/>
          <w:color w:val="000000"/>
          <w:sz w:val="28"/>
          <w:szCs w:val="28"/>
        </w:rPr>
        <w:t>（一）查看响应文件送达时间：</w:t>
      </w:r>
    </w:p>
    <w:p>
      <w:pPr>
        <w:spacing w:line="480" w:lineRule="exact"/>
        <w:ind w:firstLineChars="200" w:firstLine="560"/>
        <w:rPr>
          <w:rFonts w:eastAsia="方正仿宋_GBK"/>
          <w:color w:val="000000"/>
          <w:sz w:val="28"/>
          <w:szCs w:val="28"/>
        </w:rPr>
      </w:pPr>
      <w:r>
        <w:rPr>
          <w:rFonts w:eastAsia="方正仿宋_GBK"/>
          <w:color w:val="000000"/>
          <w:sz w:val="28"/>
          <w:szCs w:val="28"/>
        </w:rPr>
        <w:t>在《采购公告》规定的报价截止时间之前将响应文件送达。</w:t>
      </w:r>
    </w:p>
    <w:p>
      <w:pPr>
        <w:spacing w:line="480" w:lineRule="exact"/>
        <w:ind w:left="640"/>
        <w:rPr>
          <w:rFonts w:eastAsia="方正仿宋_GBK"/>
          <w:color w:val="000000"/>
          <w:sz w:val="28"/>
          <w:szCs w:val="28"/>
        </w:rPr>
      </w:pPr>
      <w:r>
        <w:rPr>
          <w:rFonts w:eastAsia="方正楷体_GBK"/>
          <w:b/>
          <w:color w:val="000000"/>
          <w:sz w:val="28"/>
          <w:szCs w:val="28"/>
        </w:rPr>
        <w:t>（二）响应文件包装密封要求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color w:val="000000"/>
          <w:sz w:val="28"/>
          <w:szCs w:val="28"/>
        </w:rPr>
        <w:t>供应商应将所有响应文件装在一个密封袋内，响应文件密封袋的封口处应加贴封条并加盖供应商法人单位公章以示密封。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二、资格审查</w:t>
      </w:r>
    </w:p>
    <w:p>
      <w:pPr>
        <w:spacing w:line="480" w:lineRule="exact"/>
        <w:ind w:firstLineChars="200" w:firstLine="560"/>
        <w:rPr>
          <w:rFonts w:eastAsia="方正仿宋_GBK"/>
          <w:color w:val="000000"/>
          <w:sz w:val="28"/>
          <w:szCs w:val="28"/>
        </w:rPr>
      </w:pPr>
      <w:r>
        <w:rPr>
          <w:rFonts w:eastAsia="方正仿宋_GBK"/>
          <w:color w:val="000000"/>
          <w:sz w:val="28"/>
          <w:szCs w:val="28"/>
        </w:rPr>
        <w:t>具备《采购公告》中企业资质，通过审查不足3家的应废标，采购人重新组织采购。</w:t>
      </w:r>
    </w:p>
    <w:p>
      <w:pPr>
        <w:spacing w:line="480" w:lineRule="exact"/>
        <w:ind w:left="640"/>
        <w:rPr>
          <w:rFonts w:eastAsia="方正黑体_GBK"/>
          <w:color w:val="000000"/>
          <w:sz w:val="28"/>
          <w:szCs w:val="28"/>
        </w:rPr>
      </w:pPr>
      <w:r>
        <w:rPr>
          <w:rFonts w:eastAsia="方正黑体_GBK"/>
          <w:color w:val="000000"/>
          <w:sz w:val="28"/>
          <w:szCs w:val="28"/>
        </w:rPr>
        <w:t>三、符合性审查</w:t>
      </w:r>
    </w:p>
    <w:p>
      <w:pPr>
        <w:spacing w:line="480" w:lineRule="exact"/>
        <w:ind w:left="640"/>
        <w:rPr>
          <w:rFonts w:eastAsia="方正楷体_GBK"/>
          <w:b/>
          <w:color w:val="000000"/>
          <w:sz w:val="28"/>
          <w:szCs w:val="28"/>
        </w:rPr>
      </w:pPr>
      <w:r>
        <w:rPr>
          <w:rFonts w:eastAsia="方正楷体_GBK"/>
          <w:b/>
          <w:sz w:val="28"/>
          <w:szCs w:val="28"/>
        </w:rPr>
        <w:t>（一）</w:t>
      </w:r>
      <w:r>
        <w:rPr>
          <w:rFonts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4.有效的“营业执照”或“事业单位法人证书”副本复印件（必须提供）；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7.“信用中国”（www.creditchina.gov.cn）信用报告及中国政府采购网（www.ccgp.gov.cn）政府采购严重违法失信行为信息记录截图（必须提供）；</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w:t>
      </w:r>
    </w:p>
    <w:p>
      <w:pPr>
        <w:spacing w:line="480" w:lineRule="exact"/>
        <w:ind w:leftChars="-1" w:left="-2" w:firstLineChars="221" w:firstLine="619"/>
        <w:rPr>
          <w:rFonts w:eastAsia="方正仿宋_GBK"/>
          <w:sz w:val="28"/>
          <w:szCs w:val="28"/>
        </w:rPr>
      </w:pPr>
      <w:r>
        <w:rPr>
          <w:rFonts w:eastAsia="方正仿宋_GBK"/>
          <w:sz w:val="28"/>
          <w:szCs w:val="28"/>
        </w:rPr>
        <w:t>9.拟派的本项目负责人简历和技术人员表；</w:t>
      </w:r>
    </w:p>
    <w:p>
      <w:pPr>
        <w:spacing w:line="480" w:lineRule="exact"/>
        <w:ind w:leftChars="-1" w:left="-2" w:firstLineChars="221" w:firstLine="619"/>
        <w:rPr>
          <w:rFonts w:eastAsia="方正仿宋_GBK"/>
          <w:sz w:val="28"/>
          <w:szCs w:val="28"/>
        </w:rPr>
      </w:pPr>
      <w:r>
        <w:rPr>
          <w:rFonts w:eastAsia="方正仿宋_GBK"/>
          <w:sz w:val="28"/>
          <w:szCs w:val="28"/>
        </w:rPr>
        <w:t>10.近三年同类工作相关业绩；</w:t>
      </w:r>
    </w:p>
    <w:p>
      <w:pPr>
        <w:spacing w:line="480" w:lineRule="exact"/>
        <w:ind w:leftChars="-1" w:left="-2" w:firstLineChars="221" w:firstLine="619"/>
        <w:rPr>
          <w:rFonts w:eastAsia="方正仿宋_GBK"/>
          <w:sz w:val="28"/>
          <w:szCs w:val="28"/>
        </w:rPr>
      </w:pPr>
      <w:r>
        <w:rPr>
          <w:rFonts w:eastAsia="方正仿宋_GBK"/>
          <w:sz w:val="28"/>
          <w:szCs w:val="28"/>
        </w:rPr>
        <w:t>11.提供所报价设备的图片及具体参数（如为设备类项目须提供）；</w:t>
      </w:r>
    </w:p>
    <w:p>
      <w:pPr>
        <w:spacing w:line="480" w:lineRule="exact"/>
        <w:ind w:leftChars="-1" w:left="-2" w:firstLineChars="221" w:firstLine="619"/>
        <w:rPr>
          <w:rFonts w:eastAsia="方正仿宋_GBK"/>
          <w:sz w:val="28"/>
          <w:szCs w:val="28"/>
        </w:rPr>
      </w:pPr>
      <w:r>
        <w:rPr>
          <w:rFonts w:eastAsia="方正仿宋_GBK"/>
          <w:sz w:val="28"/>
          <w:szCs w:val="28"/>
        </w:rPr>
        <w:t>12.其他证明文件的复印件（如有请提供）。</w:t>
      </w:r>
    </w:p>
    <w:p>
      <w:pPr>
        <w:spacing w:line="560" w:lineRule="exact"/>
        <w:ind w:leftChars="-1" w:left="-2" w:firstLineChars="200" w:firstLine="560"/>
        <w:rPr>
          <w:rFonts w:eastAsia="方正仿宋_GBK"/>
          <w:sz w:val="28"/>
          <w:szCs w:val="28"/>
        </w:rPr>
      </w:pPr>
      <w:r>
        <w:rPr>
          <w:rFonts w:eastAsia="方正仿宋_GBK"/>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eastAsia="方正楷体_GBK"/>
          <w:b/>
          <w:sz w:val="28"/>
          <w:szCs w:val="28"/>
        </w:rPr>
        <w:t>（二）</w:t>
      </w:r>
      <w:r>
        <w:rPr>
          <w:rFonts w:eastAsia="方正仿宋_GBK"/>
          <w:sz w:val="28"/>
          <w:szCs w:val="28"/>
        </w:rPr>
        <w:t>属于下列情形的，不得参加下一步详评：</w:t>
      </w:r>
    </w:p>
    <w:p>
      <w:pPr>
        <w:spacing w:line="480" w:lineRule="exact"/>
        <w:ind w:leftChars="-1" w:left="-2" w:firstLineChars="221" w:firstLine="619"/>
        <w:rPr>
          <w:rFonts w:eastAsia="方正仿宋_GBK"/>
          <w:sz w:val="28"/>
          <w:szCs w:val="28"/>
        </w:rPr>
      </w:pPr>
      <w:r>
        <w:rPr>
          <w:rFonts w:eastAsia="方正仿宋_GBK"/>
          <w:sz w:val="28"/>
          <w:szCs w:val="28"/>
        </w:rPr>
        <w:t>1.不满足上述响应文件要求（标注必须提供的材料未提交的、提供资料不符合要求的）；</w:t>
      </w:r>
    </w:p>
    <w:p>
      <w:pPr>
        <w:spacing w:line="480" w:lineRule="exact"/>
        <w:ind w:leftChars="-1" w:left="-2" w:firstLineChars="221" w:firstLine="619"/>
        <w:rPr>
          <w:rFonts w:eastAsia="方正仿宋_GBK"/>
          <w:sz w:val="28"/>
          <w:szCs w:val="28"/>
        </w:rPr>
      </w:pPr>
      <w:r>
        <w:rPr>
          <w:rFonts w:eastAsia="方正仿宋_GBK"/>
          <w:sz w:val="28"/>
          <w:szCs w:val="28"/>
        </w:rPr>
        <w:t>2.报价超过预算金额或严重不平衡、不合理、低于其企业成本的；</w:t>
      </w:r>
    </w:p>
    <w:p>
      <w:pPr>
        <w:spacing w:line="480" w:lineRule="exact"/>
        <w:ind w:leftChars="-1" w:left="-2" w:firstLineChars="221" w:firstLine="619"/>
        <w:rPr>
          <w:rFonts w:eastAsia="方正仿宋_GBK"/>
          <w:sz w:val="28"/>
          <w:szCs w:val="28"/>
        </w:rPr>
      </w:pPr>
      <w:r>
        <w:rPr>
          <w:rFonts w:eastAsia="方正仿宋_GBK"/>
          <w:sz w:val="28"/>
          <w:szCs w:val="28"/>
        </w:rPr>
        <w:t>3.《采购公告》中列明无效报价的情形；</w:t>
      </w:r>
    </w:p>
    <w:p>
      <w:pPr>
        <w:spacing w:line="480" w:lineRule="exact"/>
        <w:ind w:firstLineChars="200" w:firstLine="560"/>
        <w:rPr>
          <w:rFonts w:eastAsia="方正仿宋_GBK"/>
          <w:sz w:val="28"/>
          <w:szCs w:val="28"/>
        </w:rPr>
      </w:pPr>
      <w:r>
        <w:rPr>
          <w:rFonts w:eastAsia="方正楷体_GBK"/>
          <w:b/>
          <w:sz w:val="28"/>
          <w:szCs w:val="28"/>
        </w:rPr>
        <w:t xml:space="preserve">（三） </w:t>
      </w:r>
      <w:r>
        <w:rPr>
          <w:rFonts w:eastAsia="方正仿宋_GBK"/>
          <w:sz w:val="28"/>
          <w:szCs w:val="28"/>
        </w:rPr>
        <w:t>报价函与报价明细表的报价不一致时，以报价函价格为准，报价大、小写不一致时，以大写价格为准。</w:t>
      </w:r>
    </w:p>
    <w:p>
      <w:pPr>
        <w:spacing w:line="480" w:lineRule="exact"/>
        <w:ind w:firstLineChars="200" w:firstLine="560"/>
        <w:rPr>
          <w:rFonts w:eastAsia="方正黑体_GBK"/>
          <w:sz w:val="28"/>
          <w:szCs w:val="28"/>
        </w:rPr>
      </w:pPr>
      <w:r>
        <w:rPr>
          <w:rFonts w:eastAsia="方正黑体_GBK"/>
          <w:sz w:val="28"/>
          <w:szCs w:val="28"/>
        </w:rPr>
        <w:t>四、评审方法及评分标准</w:t>
      </w:r>
    </w:p>
    <w:p>
      <w:pPr>
        <w:spacing w:line="480" w:lineRule="exact"/>
        <w:ind w:firstLineChars="228" w:firstLine="638"/>
        <w:rPr>
          <w:rFonts w:eastAsia="方正仿宋_GBK"/>
          <w:sz w:val="28"/>
          <w:szCs w:val="28"/>
        </w:rPr>
      </w:pPr>
      <w:r>
        <w:rPr>
          <w:rFonts w:eastAsia="方正仿宋_GBK"/>
          <w:sz w:val="28"/>
          <w:szCs w:val="28"/>
        </w:rPr>
        <w:t>通过符合性审查的供应商不足3家时，可继续评审。</w:t>
      </w:r>
    </w:p>
    <w:p>
      <w:pPr>
        <w:spacing w:line="480" w:lineRule="exact"/>
        <w:ind w:firstLineChars="228" w:firstLine="638"/>
        <w:rPr>
          <w:rFonts w:eastAsia="方正仿宋_GBK"/>
          <w:sz w:val="28"/>
          <w:szCs w:val="28"/>
        </w:rPr>
      </w:pPr>
      <w:r>
        <w:rPr>
          <w:rFonts w:eastAsia="方正仿宋_GBK"/>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80" w:lineRule="exact"/>
        <w:ind w:firstLineChars="228" w:firstLine="638"/>
        <w:rPr>
          <w:rFonts w:eastAsia="方正黑体_GBK"/>
          <w:strike/>
          <w:dstrike w:val="0"/>
          <w:color w:val="FF0000"/>
          <w:sz w:val="28"/>
          <w:szCs w:val="28"/>
        </w:rPr>
      </w:pPr>
      <w:r>
        <w:rPr>
          <w:rFonts w:eastAsia="方正仿宋_GBK"/>
          <w:color w:val="000000"/>
          <w:sz w:val="28"/>
          <w:szCs w:val="28"/>
        </w:rPr>
        <w:t>属于报价无效情形的，不予澄清。</w:t>
      </w:r>
    </w:p>
    <w:p>
      <w:pPr>
        <w:snapToGrid w:val="0"/>
        <w:spacing w:line="480" w:lineRule="exact"/>
        <w:ind w:firstLineChars="196" w:firstLine="549"/>
        <w:jc w:val="left"/>
        <w:rPr>
          <w:rFonts w:eastAsia="仿宋_GB2312"/>
          <w:b/>
          <w:color w:val="000000"/>
          <w:sz w:val="28"/>
          <w:szCs w:val="28"/>
        </w:rPr>
      </w:pPr>
      <w:r>
        <w:rPr>
          <w:rFonts w:eastAsia="仿宋_GB2312"/>
          <w:b/>
          <w:color w:val="000000"/>
          <w:sz w:val="28"/>
          <w:szCs w:val="28"/>
        </w:rPr>
        <w:t>（一）评审方法</w:t>
      </w:r>
    </w:p>
    <w:p>
      <w:pPr>
        <w:snapToGrid w:val="0"/>
        <w:spacing w:line="480" w:lineRule="exact"/>
        <w:ind w:firstLineChars="200" w:firstLine="560"/>
        <w:jc w:val="left"/>
        <w:rPr>
          <w:rFonts w:eastAsia="仿宋_GB2312"/>
          <w:bCs/>
          <w:color w:val="000000"/>
          <w:sz w:val="28"/>
          <w:szCs w:val="28"/>
        </w:rPr>
      </w:pPr>
      <w:r>
        <w:rPr>
          <w:rFonts w:eastAsia="仿宋_GB2312"/>
          <w:bCs/>
          <w:color w:val="000000"/>
          <w:sz w:val="28"/>
          <w:szCs w:val="28"/>
        </w:rPr>
        <w:t>1.对进入详评的，采用百分制综合评分法。</w:t>
      </w:r>
    </w:p>
    <w:p>
      <w:pPr>
        <w:snapToGrid w:val="0"/>
        <w:spacing w:line="480" w:lineRule="exact"/>
        <w:ind w:firstLineChars="200" w:firstLine="560"/>
        <w:jc w:val="left"/>
        <w:rPr>
          <w:rFonts w:eastAsia="仿宋_GB2312"/>
          <w:bCs/>
          <w:color w:val="000000"/>
          <w:sz w:val="28"/>
          <w:szCs w:val="28"/>
        </w:rPr>
      </w:pPr>
      <w:r>
        <w:rPr>
          <w:rFonts w:eastAsia="仿宋_GB2312"/>
          <w:bCs/>
          <w:color w:val="000000"/>
          <w:sz w:val="28"/>
          <w:szCs w:val="28"/>
        </w:rPr>
        <w:t>2.计分办法（按四舍五入取至小数点后两位）。</w:t>
      </w:r>
    </w:p>
    <w:p>
      <w:pPr>
        <w:spacing w:line="480" w:lineRule="exact"/>
        <w:ind w:firstLineChars="200" w:firstLine="560"/>
        <w:rPr>
          <w:rFonts w:eastAsia="仿宋_GB2312"/>
          <w:b/>
          <w:sz w:val="28"/>
          <w:szCs w:val="28"/>
        </w:rPr>
      </w:pPr>
      <w:r>
        <w:rPr>
          <w:rFonts w:eastAsia="仿宋_GB2312"/>
          <w:b/>
          <w:sz w:val="28"/>
          <w:szCs w:val="28"/>
        </w:rPr>
        <w:t>（二）评分标准</w:t>
      </w:r>
    </w:p>
    <w:tbl>
      <w:tblPr>
        <w:jc w:val="left"/>
        <w:tblInd w:w="-319" w:type="dxa"/>
        <w:tblW w:w="9694"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26"/>
        <w:gridCol w:w="693"/>
        <w:gridCol w:w="775"/>
        <w:gridCol w:w="7500"/>
      </w:tblGrid>
      <w:tr>
        <w:trPr>
          <w:trHeight w:val="488"/>
        </w:trPr>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序号</w:t>
            </w:r>
          </w:p>
        </w:tc>
        <w:tc>
          <w:tcPr>
            <w:tcW w:w="14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评分项</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color w:val="000000"/>
                <w:szCs w:val="21"/>
              </w:rPr>
            </w:pPr>
            <w:r>
              <w:rPr>
                <w:color w:val="000000"/>
                <w:kern w:val="0"/>
                <w:szCs w:val="21"/>
              </w:rPr>
              <w:t>评分标准</w:t>
            </w:r>
          </w:p>
        </w:tc>
      </w:tr>
      <w:tr>
        <w:trPr>
          <w:trHeight w:val="1080"/>
        </w:trPr>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1</w:t>
            </w:r>
          </w:p>
        </w:tc>
        <w:tc>
          <w:tcPr>
            <w:tcW w:w="14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b/>
                <w:color w:val="000000"/>
                <w:szCs w:val="21"/>
              </w:rPr>
            </w:pPr>
            <w:r>
              <w:rPr>
                <w:b/>
                <w:color w:val="000000"/>
                <w:kern w:val="0"/>
                <w:szCs w:val="21"/>
              </w:rPr>
              <w:t>价格部分</w:t>
              <w:br/>
              <w:t>（25分）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8"/>
              <w:spacing w:line="400" w:lineRule="exact"/>
              <w:rPr>
                <w:rFonts w:ascii="Times New Roman" w:hAnsi="Times New Roman"/>
              </w:rPr>
            </w:pPr>
            <w:r>
              <w:rPr>
                <w:rFonts w:ascii="Times New Roman" w:hAnsi="Times New Roman"/>
              </w:rPr>
              <w:t>（1）满足协商谈判文件要求且响应报价最低的报价为基准价，其价格分为25分。</w:t>
            </w:r>
          </w:p>
          <w:p>
            <w:pPr>
              <w:pStyle w:val="21"/>
              <w:spacing w:line="320" w:lineRule="exact"/>
              <w:ind w:firstLineChars="1400" w:firstLine="2940"/>
              <w:rPr>
                <w:rFonts w:ascii="Times New Roman" w:cs="Times New Roman" w:hAnsi="Times New Roman"/>
                <w:sz w:val="21"/>
              </w:rPr>
            </w:pPr>
            <w:r>
              <w:rPr>
                <w:rFonts w:ascii="Times New Roman" w:cs="Times New Roman" w:hAnsi="Times New Roman"/>
                <w:sz w:val="21"/>
                <w:lang w:eastAsia="zh-CN"/>
              </w:rPr>
              <w:t xml:space="preserve">      </w:t>
            </w:r>
            <w:r>
              <w:rPr>
                <w:rFonts w:ascii="Times New Roman" w:cs="Times New Roman" w:hAnsi="Times New Roman"/>
                <w:sz w:val="21"/>
              </w:rPr>
              <w:t>最低</w:t>
            </w:r>
            <w:r>
              <w:rPr>
                <w:rFonts w:ascii="Times New Roman" w:cs="Times New Roman" w:hAnsi="Times New Roman"/>
                <w:sz w:val="21"/>
                <w:lang w:eastAsia="zh-CN"/>
              </w:rPr>
              <w:t>协商</w:t>
            </w:r>
            <w:r>
              <w:rPr>
                <w:rFonts w:ascii="Times New Roman" w:cs="Times New Roman" w:hAnsi="Times New Roman"/>
                <w:sz w:val="21"/>
              </w:rPr>
              <w:t>报价金额（元）</w:t>
            </w:r>
          </w:p>
          <w:p>
            <w:pPr>
              <w:pStyle w:val="18"/>
              <w:spacing w:line="320" w:lineRule="exact"/>
              <w:rPr>
                <w:rFonts w:ascii="Times New Roman" w:hAnsi="Times New Roman"/>
                <w:shd w:val="clear" w:color="auto" w:fill="FFFF00"/>
              </w:rPr>
            </w:pPr>
            <w:r>
              <w:rPr>
                <w:rFonts w:ascii="Times New Roman" w:hAnsi="Times New Roman"/>
              </w:rPr>
              <mc:AlternateContent>
                <mc:Choice Requires="wps">
                  <w:drawing>
                    <wp:anchor distT="0" distB="0" distL="114298" distR="114298" simplePos="0" relativeHeight="12" behindDoc="0" locked="0" layoutInCell="1" hidden="0" allowOverlap="1">
                      <wp:simplePos x="0" y="0"/>
                      <wp:positionH relativeFrom="column">
                        <wp:posOffset>1776095</wp:posOffset>
                      </wp:positionH>
                      <wp:positionV relativeFrom="paragraph">
                        <wp:posOffset>76200</wp:posOffset>
                      </wp:positionV>
                      <wp:extent cx="2197099" cy="0"/>
                      <wp:effectExtent l="0" t="0" r="0" b="0"/>
                      <wp:wrapNone/>
                      <wp:docPr id="1" name="直接连接符 1"/>
                      <wp:cNvGraphicFramePr>
                        <a:graphicFrameLocks noChangeAspect="0"/>
                      </wp:cNvGraphicFramePr>
                      <a:graphic>
                        <a:graphicData uri="http://schemas.microsoft.com/office/word/2010/wordprocessingShape">
                          <wps:wsp>
                            <wps:cNvSpPr/>
                            <wps:spPr>
                              <a:xfrm rot="0">
                                <a:off x="0" y="0"/>
                                <a:ext cx="2197099" cy="0"/>
                              </a:xfrm>
                              <a:prstGeom prst="line"/>
                              <a:noFill/>
                              <a:ln w="9360"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1 2" o:spid="_x0000_s2" from="139.85pt,6.0pt" to="312.84998pt,6.0pt" filled="f" stroked="t" strokeweight="0.73700786pt" style="position:absolute;z-index:12;mso-position-horizontal:absolute;mso-position-vertical:absolute;mso-wrap-distance-left:8.999863pt;mso-wrap-distance-right:8.999863pt;visibility:visible;">
                      <v:stroke color="#000000"/>
                    </v:line>
                  </w:pict>
                </mc:Fallback>
              </mc:AlternateContent>
            </w:r>
            <w:r>
              <w:rPr>
                <w:rFonts w:ascii="Times New Roman" w:hAnsi="Times New Roman"/>
              </w:rPr>
              <w:t>（2）某供应商协商报价分 =                                    ×</w:t>
            </w:r>
            <w:r>
              <w:rPr>
                <w:rFonts w:ascii="Times New Roman" w:hAnsi="Times New Roman"/>
                <w:bCs/>
              </w:rPr>
              <w:t>25分</w:t>
            </w:r>
          </w:p>
          <w:p>
            <w:pPr>
              <w:pStyle w:val="18"/>
              <w:spacing w:line="320" w:lineRule="exact"/>
              <w:ind w:firstLineChars="200" w:firstLine="420"/>
              <w:rPr>
                <w:rFonts w:ascii="Times New Roman" w:hAnsi="Times New Roman"/>
                <w:color w:val="000000"/>
                <w:szCs w:val="21"/>
              </w:rPr>
            </w:pPr>
            <w:r>
              <w:rPr>
                <w:rFonts w:ascii="Times New Roman" w:hAnsi="Times New Roman"/>
                <w:szCs w:val="21"/>
              </w:rPr>
              <w:t xml:space="preserve">                           某供应商协商报价金额（元）</w:t>
            </w:r>
          </w:p>
        </w:tc>
      </w:tr>
      <w:tr>
        <w:trPr>
          <w:trHeight w:val="3728"/>
        </w:trPr>
        <w:tc>
          <w:tcPr>
            <w:tcW w:w="726" w:type="dxa"/>
            <w:vMerge w:val="restart"/>
            <w:tcBorders>
              <w:top w:val="single" w:sz="4" w:space="0" w:color="000000"/>
              <w:left w:val="single" w:sz="4" w:space="0" w:color="000000"/>
              <w:right w:val="single" w:sz="4" w:space="0" w:color="000000"/>
            </w:tcBorders>
            <w:shd w:val="clear" w:color="auto" w:fill="auto"/>
            <w:vAlign w:val="center"/>
          </w:tcPr>
          <w:p>
            <w:pPr>
              <w:widowControl/>
              <w:jc w:val="center"/>
              <w:textAlignment w:val="center"/>
              <w:rPr>
                <w:color w:val="000000"/>
                <w:szCs w:val="21"/>
              </w:rPr>
            </w:pPr>
            <w:r>
              <w:rPr>
                <w:color w:val="000000"/>
                <w:kern w:val="0"/>
                <w:szCs w:val="21"/>
              </w:rPr>
              <w:t>2</w:t>
            </w:r>
          </w:p>
        </w:tc>
        <w:tc>
          <w:tcPr>
            <w:tcW w:w="693" w:type="dxa"/>
            <w:vMerge w:val="restart"/>
            <w:tcBorders>
              <w:top w:val="single" w:sz="4" w:space="0" w:color="000000"/>
              <w:left w:val="single" w:sz="4" w:space="0" w:color="000000"/>
              <w:right w:val="single" w:sz="4" w:space="0" w:color="auto"/>
            </w:tcBorders>
            <w:shd w:val="clear" w:color="auto" w:fill="auto"/>
            <w:vAlign w:val="center"/>
          </w:tcPr>
          <w:p>
            <w:pPr>
              <w:widowControl/>
              <w:jc w:val="center"/>
              <w:textAlignment w:val="center"/>
              <w:rPr>
                <w:b/>
                <w:bCs/>
              </w:rPr>
            </w:pPr>
            <w:r>
              <w:rPr>
                <w:b/>
                <w:bCs/>
              </w:rPr>
              <w:t>技术分</w:t>
            </w:r>
          </w:p>
          <w:p>
            <w:pPr>
              <w:widowControl/>
              <w:jc w:val="center"/>
              <w:textAlignment w:val="center"/>
              <w:rPr>
                <w:b/>
                <w:color w:val="000000"/>
                <w:szCs w:val="21"/>
              </w:rPr>
            </w:pPr>
            <w:r>
              <w:rPr>
                <w:b/>
                <w:color w:val="000000"/>
                <w:kern w:val="0"/>
                <w:szCs w:val="21"/>
              </w:rPr>
              <w:t>（60分）</w:t>
            </w:r>
          </w:p>
        </w:tc>
        <w:tc>
          <w:tcPr>
            <w:tcW w:w="775"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b/>
                <w:color w:val="000000"/>
                <w:szCs w:val="21"/>
              </w:rPr>
            </w:pPr>
            <w:r>
              <w:rPr>
                <w:rFonts w:hAnsi="宋体" w:hint="eastAsia"/>
                <w:b/>
                <w:color w:val="000000"/>
                <w:szCs w:val="21"/>
              </w:rPr>
              <w:t>项目技术方案分</w:t>
            </w:r>
            <w:r>
              <w:rPr>
                <w:b/>
                <w:color w:val="000000"/>
                <w:kern w:val="0"/>
                <w:szCs w:val="21"/>
              </w:rPr>
              <w:t>（15分）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7"/>
              <w:keepNext w:val="0"/>
              <w:keepLines w:val="0"/>
              <w:pageBreakBefore w:val="0"/>
              <w:widowControl w:val="0"/>
              <w:kinsoku/>
              <w:wordWrap/>
              <w:overflowPunct/>
              <w:topLinePunct w:val="0"/>
              <w:autoSpaceDE/>
              <w:autoSpaceDN/>
              <w:snapToGrid/>
              <w:spacing w:line="400" w:lineRule="exact"/>
              <w:ind w:left="0"/>
              <w:rPr>
                <w:rFonts w:ascii="宋体" w:cs="宋体" w:hAnsi="宋体" w:hint="eastAsia"/>
                <w:b/>
                <w:bCs/>
                <w:szCs w:val="21"/>
              </w:rPr>
            </w:pPr>
            <w:r>
              <w:rPr>
                <w:rFonts w:ascii="宋体" w:cs="宋体" w:hAnsi="宋体" w:hint="eastAsia"/>
                <w:b/>
                <w:bCs/>
                <w:szCs w:val="21"/>
              </w:rPr>
              <w:t>未提供相关内容或提供的内容与本项目不相符得0分。</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bidi="zh-CN"/>
              </w:rPr>
            </w:pPr>
            <w:r>
              <w:rPr>
                <w:rFonts w:ascii="宋体" w:cs="宋体" w:hAnsi="宋体" w:hint="eastAsia"/>
                <w:szCs w:val="21"/>
                <w:lang w:bidi="zh-CN"/>
              </w:rPr>
              <w:t>一档（</w:t>
            </w:r>
            <w:r>
              <w:rPr>
                <w:rFonts w:ascii="宋体" w:cs="宋体" w:hAnsi="宋体"/>
                <w:szCs w:val="21"/>
                <w:lang w:bidi="zh-CN"/>
              </w:rPr>
              <w:t>5</w:t>
            </w:r>
            <w:r>
              <w:rPr>
                <w:rFonts w:ascii="宋体" w:cs="宋体" w:hAnsi="宋体" w:hint="eastAsia"/>
                <w:szCs w:val="21"/>
                <w:lang w:bidi="zh-CN"/>
              </w:rPr>
              <w:t>分）：技术方案内容齐全，方案基本可行，对本项目总体要求有一定的理解</w:t>
            </w:r>
            <w:r>
              <w:rPr>
                <w:rFonts w:ascii="宋体" w:cs="宋体" w:hAnsi="宋体"/>
                <w:szCs w:val="21"/>
                <w:lang w:bidi="zh-CN"/>
              </w:rPr>
              <w:t>，</w:t>
            </w:r>
            <w:r>
              <w:rPr>
                <w:rFonts w:ascii="宋体" w:cs="宋体" w:hAnsi="宋体" w:hint="eastAsia"/>
                <w:szCs w:val="21"/>
                <w:lang w:bidi="zh-CN"/>
              </w:rPr>
              <w:t>采集配置简单、一般；</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bidi="zh-CN"/>
              </w:rPr>
            </w:pPr>
            <w:r>
              <w:rPr>
                <w:rFonts w:ascii="宋体" w:cs="宋体" w:hAnsi="宋体" w:hint="eastAsia"/>
                <w:szCs w:val="21"/>
                <w:lang w:bidi="zh-CN"/>
              </w:rPr>
              <w:t>二档（</w:t>
            </w:r>
            <w:r>
              <w:rPr>
                <w:rFonts w:ascii="宋体" w:cs="宋体" w:hAnsi="宋体"/>
                <w:szCs w:val="21"/>
                <w:lang w:bidi="zh-CN"/>
              </w:rPr>
              <w:t>10</w:t>
            </w:r>
            <w:r>
              <w:rPr>
                <w:rFonts w:ascii="宋体" w:cs="宋体" w:hAnsi="宋体" w:hint="eastAsia"/>
                <w:szCs w:val="21"/>
                <w:lang w:bidi="zh-CN"/>
              </w:rPr>
              <w:t>分）：技术方案完整详细，总体设计方案、实施方案内容较为全面、清晰，方案合理可行，贴近项目需求</w:t>
            </w:r>
            <w:r>
              <w:rPr>
                <w:rFonts w:ascii="宋体" w:cs="宋体" w:hAnsi="宋体"/>
                <w:szCs w:val="21"/>
                <w:lang w:bidi="zh-CN"/>
              </w:rPr>
              <w:t>，</w:t>
            </w:r>
            <w:r>
              <w:rPr>
                <w:rFonts w:ascii="宋体" w:cs="宋体" w:hAnsi="宋体" w:hint="eastAsia"/>
                <w:szCs w:val="21"/>
                <w:lang w:bidi="zh-CN"/>
              </w:rPr>
              <w:t>采集配置较为详细、合理；</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bidi="zh-CN"/>
              </w:rPr>
            </w:pPr>
            <w:r>
              <w:rPr>
                <w:rFonts w:ascii="宋体" w:cs="宋体" w:hAnsi="宋体" w:hint="eastAsia"/>
                <w:szCs w:val="21"/>
                <w:lang w:bidi="zh-CN"/>
              </w:rPr>
              <w:t>三档（</w:t>
            </w:r>
            <w:r>
              <w:rPr>
                <w:rFonts w:ascii="宋体" w:cs="宋体" w:hAnsi="宋体"/>
                <w:szCs w:val="21"/>
                <w:lang w:bidi="zh-CN"/>
              </w:rPr>
              <w:t>15</w:t>
            </w:r>
            <w:r>
              <w:rPr>
                <w:rFonts w:ascii="宋体" w:cs="宋体" w:hAnsi="宋体" w:hint="eastAsia"/>
                <w:szCs w:val="21"/>
                <w:lang w:bidi="zh-CN"/>
              </w:rPr>
              <w:t>分）：技术方案符合本项目安全性、高质量、实用性、开放性、先进性、扩展性等设计要求，针对性强且服务人员队伍组建及管理方案科学合理，可操作性强且采集配置详细、方案科学合理。</w:t>
            </w:r>
          </w:p>
        </w:tc>
      </w:tr>
      <w:tr>
        <w:trPr>
          <w:trHeight w:val="3680"/>
        </w:trPr>
        <w:tc>
          <w:tcPr>
            <w:tcW w:w="7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93" w:type="dxa"/>
            <w:vMerge/>
            <w:tcBorders>
              <w:top w:val="single" w:sz="4" w:space="0" w:color="000000"/>
              <w:left w:val="single" w:sz="4" w:space="0" w:color="000000"/>
              <w:bottom w:val="single" w:sz="4" w:space="0" w:color="000000"/>
              <w:right w:val="single" w:sz="4" w:space="0" w:color="auto"/>
            </w:tcBorders>
            <w:shd w:val="clear" w:color="auto" w:fill="auto"/>
            <w:vAlign w:val="center"/>
          </w:tcPr>
          <w:p/>
        </w:tc>
        <w:tc>
          <w:tcPr>
            <w:tcW w:w="775"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rFonts w:hAnsi="宋体"/>
                <w:b/>
                <w:color w:val="000000"/>
                <w:szCs w:val="21"/>
              </w:rPr>
            </w:pPr>
            <w:r>
              <w:rPr>
                <w:rFonts w:hAnsi="宋体"/>
                <w:b/>
                <w:color w:val="000000"/>
                <w:szCs w:val="21"/>
              </w:rPr>
              <w:t>项目组织实施分（15分）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6"/>
              <w:keepNext w:val="0"/>
              <w:keepLines w:val="0"/>
              <w:pageBreakBefore w:val="0"/>
              <w:widowControl w:val="0"/>
              <w:kinsoku/>
              <w:wordWrap/>
              <w:overflowPunct/>
              <w:topLinePunct w:val="0"/>
              <w:autoSpaceDE/>
              <w:autoSpaceDN/>
              <w:snapToGrid/>
              <w:spacing w:line="400" w:lineRule="exact"/>
              <w:ind w:left="0"/>
              <w:rPr>
                <w:rFonts w:ascii="宋体" w:cs="宋体" w:hAnsi="宋体" w:hint="eastAsia"/>
                <w:b/>
                <w:bCs/>
                <w:szCs w:val="21"/>
              </w:rPr>
            </w:pPr>
            <w:r>
              <w:rPr>
                <w:rFonts w:ascii="宋体" w:cs="宋体" w:hAnsi="宋体" w:hint="eastAsia"/>
                <w:b/>
                <w:bCs/>
                <w:szCs w:val="21"/>
              </w:rPr>
              <w:t>未提供相关内容或提供的内容与本项目不相符得0分。</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bidi="zh-CN"/>
              </w:rPr>
            </w:pPr>
            <w:r>
              <w:rPr>
                <w:rFonts w:ascii="宋体" w:cs="宋体" w:hAnsi="宋体" w:hint="eastAsia"/>
                <w:szCs w:val="21"/>
                <w:lang w:bidi="zh-CN"/>
              </w:rPr>
              <w:t>一档（</w:t>
            </w:r>
            <w:r>
              <w:rPr>
                <w:rFonts w:ascii="宋体" w:cs="宋体" w:hAnsi="宋体"/>
                <w:szCs w:val="21"/>
                <w:lang w:bidi="zh-CN"/>
              </w:rPr>
              <w:t>5</w:t>
            </w:r>
            <w:r>
              <w:rPr>
                <w:rFonts w:ascii="宋体" w:cs="宋体" w:hAnsi="宋体" w:hint="eastAsia"/>
                <w:szCs w:val="21"/>
                <w:lang w:bidi="zh-CN"/>
              </w:rPr>
              <w:t>分）：有项目实施组织措施、项目执行保障措施，基本满足需求；</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bidi="zh-CN"/>
              </w:rPr>
            </w:pPr>
            <w:r>
              <w:rPr>
                <w:rFonts w:ascii="宋体" w:cs="宋体" w:hAnsi="宋体" w:hint="eastAsia"/>
                <w:szCs w:val="21"/>
                <w:lang w:bidi="zh-CN"/>
              </w:rPr>
              <w:t>二档（</w:t>
            </w:r>
            <w:r>
              <w:rPr>
                <w:rFonts w:ascii="宋体" w:cs="宋体" w:hAnsi="宋体"/>
                <w:szCs w:val="21"/>
                <w:lang w:bidi="zh-CN"/>
              </w:rPr>
              <w:t>10</w:t>
            </w:r>
            <w:r>
              <w:rPr>
                <w:rFonts w:ascii="宋体" w:cs="宋体" w:hAnsi="宋体" w:hint="eastAsia"/>
                <w:szCs w:val="21"/>
                <w:lang w:bidi="zh-CN"/>
              </w:rPr>
              <w:t>分）：能结合</w:t>
            </w:r>
            <w:r>
              <w:rPr>
                <w:rFonts w:ascii="宋体" w:cs="宋体" w:hAnsi="宋体"/>
                <w:szCs w:val="21"/>
                <w:lang w:bidi="zh-CN"/>
              </w:rPr>
              <w:t>采购人</w:t>
            </w:r>
            <w:r>
              <w:rPr>
                <w:rFonts w:ascii="宋体" w:cs="宋体" w:hAnsi="宋体" w:hint="eastAsia"/>
                <w:szCs w:val="21"/>
                <w:lang w:bidi="zh-CN"/>
              </w:rPr>
              <w:t>实际情况，提出合理化建议，项目实施组织措施、项目执行保障措施详细可行，方案资料齐全</w:t>
            </w:r>
            <w:r>
              <w:rPr>
                <w:rFonts w:ascii="宋体" w:cs="宋体" w:hAnsi="宋体"/>
                <w:szCs w:val="21"/>
                <w:lang w:bidi="zh-CN"/>
              </w:rPr>
              <w:t>,</w:t>
            </w:r>
            <w:r>
              <w:rPr>
                <w:rFonts w:ascii="宋体" w:cs="宋体" w:hAnsi="宋体" w:hint="eastAsia"/>
                <w:szCs w:val="21"/>
                <w:lang w:bidi="zh-CN"/>
              </w:rPr>
              <w:t>实施组织方案</w:t>
            </w:r>
            <w:r>
              <w:rPr>
                <w:rFonts w:ascii="宋体" w:cs="宋体" w:hAnsi="宋体"/>
                <w:szCs w:val="21"/>
                <w:lang w:bidi="zh-CN"/>
              </w:rPr>
              <w:t>能</w:t>
            </w:r>
            <w:r>
              <w:rPr>
                <w:rFonts w:ascii="宋体" w:cs="宋体" w:hAnsi="宋体" w:hint="eastAsia"/>
                <w:szCs w:val="21"/>
                <w:lang w:bidi="zh-CN"/>
              </w:rPr>
              <w:t xml:space="preserve">满足采购人的需求情况达到良好标准的； </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rPr>
            </w:pPr>
            <w:r>
              <w:rPr>
                <w:rFonts w:ascii="宋体" w:cs="宋体" w:hAnsi="宋体" w:hint="eastAsia"/>
                <w:szCs w:val="21"/>
                <w:lang w:bidi="zh-CN"/>
              </w:rPr>
              <w:t>三档（</w:t>
            </w:r>
            <w:r>
              <w:rPr>
                <w:rFonts w:ascii="宋体" w:cs="宋体" w:hAnsi="宋体"/>
                <w:szCs w:val="21"/>
                <w:lang w:bidi="zh-CN"/>
              </w:rPr>
              <w:t>15</w:t>
            </w:r>
            <w:r>
              <w:rPr>
                <w:rFonts w:ascii="宋体" w:cs="宋体" w:hAnsi="宋体" w:hint="eastAsia"/>
                <w:szCs w:val="21"/>
                <w:lang w:bidi="zh-CN"/>
              </w:rPr>
              <w:t>分）：能结合</w:t>
            </w:r>
            <w:r>
              <w:rPr>
                <w:rFonts w:ascii="宋体" w:cs="宋体" w:hAnsi="宋体"/>
                <w:szCs w:val="21"/>
                <w:lang w:bidi="zh-CN"/>
              </w:rPr>
              <w:t>采购人</w:t>
            </w:r>
            <w:r>
              <w:rPr>
                <w:rFonts w:ascii="宋体" w:cs="宋体" w:hAnsi="宋体" w:hint="eastAsia"/>
                <w:szCs w:val="21"/>
                <w:lang w:bidi="zh-CN"/>
              </w:rPr>
              <w:t>实际情况，提出合理化建议，项目实施组织措施、项目执行保障措施详细可行，熟悉项目流程及业务，方案资料齐全、实施组织方案科学、系统、完整、严谨及满足采购人的需求情况等方面达到优秀标准。</w:t>
            </w:r>
          </w:p>
        </w:tc>
      </w:tr>
      <w:tr>
        <w:trPr>
          <w:trHeight w:val="1875"/>
        </w:trPr>
        <w:tc>
          <w:tcPr>
            <w:tcW w:w="4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709" w:type="dxa"/>
            <w:vMerge/>
            <w:tcBorders>
              <w:top w:val="single" w:sz="4" w:space="0" w:color="000000"/>
              <w:left w:val="single" w:sz="4" w:space="0" w:color="000000"/>
              <w:bottom w:val="single" w:sz="4" w:space="0" w:color="000000"/>
              <w:right w:val="single" w:sz="4" w:space="0" w:color="auto"/>
            </w:tcBorders>
            <w:shd w:val="clear" w:color="auto" w:fill="auto"/>
            <w:vAlign w:val="center"/>
          </w:tcPr>
          <w:p/>
        </w:tc>
        <w:tc>
          <w:tcPr>
            <w:tcW w:w="775"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b/>
                <w:color w:val="000000"/>
                <w:szCs w:val="21"/>
              </w:rPr>
            </w:pPr>
            <w:r>
              <w:rPr>
                <w:b/>
                <w:szCs w:val="21"/>
              </w:rPr>
              <w:t>售后服务方案</w:t>
            </w:r>
          </w:p>
          <w:p>
            <w:pPr>
              <w:widowControl/>
              <w:jc w:val="center"/>
              <w:textAlignment w:val="center"/>
              <w:rPr>
                <w:b/>
                <w:color w:val="000000"/>
                <w:szCs w:val="21"/>
              </w:rPr>
            </w:pPr>
            <w:r>
              <w:rPr>
                <w:b/>
                <w:color w:val="000000"/>
                <w:kern w:val="0"/>
                <w:szCs w:val="21"/>
              </w:rPr>
              <w:t>（15分）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55"/>
              <w:keepNext w:val="0"/>
              <w:keepLines w:val="0"/>
              <w:pageBreakBefore w:val="0"/>
              <w:widowControl w:val="0"/>
              <w:kinsoku/>
              <w:wordWrap/>
              <w:overflowPunct/>
              <w:topLinePunct w:val="0"/>
              <w:autoSpaceDE/>
              <w:autoSpaceDN/>
              <w:snapToGrid/>
              <w:spacing w:line="400" w:lineRule="exact"/>
              <w:ind w:left="0"/>
              <w:rPr>
                <w:rFonts w:ascii="宋体" w:cs="宋体" w:hAnsi="宋体" w:hint="eastAsia"/>
                <w:b/>
                <w:bCs/>
                <w:szCs w:val="21"/>
              </w:rPr>
            </w:pPr>
            <w:r>
              <w:rPr>
                <w:rFonts w:ascii="宋体" w:cs="宋体" w:hAnsi="宋体" w:hint="eastAsia"/>
                <w:b/>
                <w:bCs/>
                <w:szCs w:val="21"/>
              </w:rPr>
              <w:t>未提供相关内容或提供的内容与本项目不相符得0分。</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rPr>
            </w:pPr>
            <w:r>
              <w:rPr>
                <w:rFonts w:ascii="宋体" w:cs="宋体" w:hAnsi="宋体" w:hint="eastAsia"/>
                <w:szCs w:val="21"/>
                <w:lang w:eastAsia="zh-CN"/>
              </w:rPr>
              <w:t>一档（10分）：提供售后服务方案，方案简单，基本满足项目需求。</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rPr>
            </w:pPr>
            <w:r>
              <w:rPr>
                <w:rFonts w:ascii="宋体" w:cs="宋体" w:hAnsi="宋体" w:hint="eastAsia"/>
                <w:szCs w:val="21"/>
              </w:rPr>
              <w:t>二档（</w:t>
            </w:r>
            <w:r>
              <w:rPr>
                <w:rFonts w:ascii="宋体" w:cs="宋体" w:hAnsi="宋体"/>
                <w:szCs w:val="21"/>
              </w:rPr>
              <w:t>15</w:t>
            </w:r>
            <w:r>
              <w:rPr>
                <w:rFonts w:ascii="宋体" w:cs="宋体" w:hAnsi="宋体" w:hint="eastAsia"/>
                <w:szCs w:val="21"/>
              </w:rPr>
              <w:t>分）：提供售后服务方案，方案包含有</w:t>
            </w:r>
            <w:r>
              <w:rPr>
                <w:rFonts w:ascii="宋体" w:cs="宋体" w:hAnsi="宋体" w:hint="eastAsia"/>
                <w:szCs w:val="21"/>
                <w:lang w:eastAsia="zh-CN"/>
              </w:rPr>
              <w:t>服务</w:t>
            </w:r>
            <w:r>
              <w:rPr>
                <w:rFonts w:ascii="宋体" w:cs="宋体" w:hAnsi="宋体" w:hint="eastAsia"/>
                <w:szCs w:val="21"/>
              </w:rPr>
              <w:t>保障方案、</w:t>
            </w:r>
            <w:r>
              <w:rPr>
                <w:rFonts w:ascii="宋体" w:cs="宋体" w:hAnsi="宋体" w:hint="eastAsia"/>
                <w:szCs w:val="21"/>
                <w:lang w:eastAsia="zh-CN"/>
              </w:rPr>
              <w:t>保密方案、</w:t>
            </w:r>
            <w:r>
              <w:rPr>
                <w:rFonts w:ascii="宋体" w:cs="宋体" w:hAnsi="宋体" w:hint="eastAsia"/>
                <w:szCs w:val="21"/>
              </w:rPr>
              <w:t>售后服务</w:t>
            </w:r>
            <w:r>
              <w:rPr>
                <w:rFonts w:ascii="宋体" w:cs="宋体" w:hAnsi="宋体" w:hint="eastAsia"/>
                <w:szCs w:val="21"/>
                <w:lang w:eastAsia="zh-CN"/>
              </w:rPr>
              <w:t>响应</w:t>
            </w:r>
            <w:r>
              <w:rPr>
                <w:rFonts w:ascii="宋体" w:cs="宋体" w:hAnsi="宋体" w:hint="eastAsia"/>
                <w:szCs w:val="21"/>
              </w:rPr>
              <w:t>方案，方案可行性强，具有本地化服务能力，指定专人作为项目联系人。</w:t>
            </w:r>
          </w:p>
        </w:tc>
      </w:tr>
      <w:tr>
        <w:trPr>
          <w:trHeight w:val="2435"/>
        </w:trPr>
        <w:tc>
          <w:tcPr>
            <w:tcW w:w="7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693" w:type="dxa"/>
            <w:vMerge/>
            <w:tcBorders>
              <w:top w:val="single" w:sz="4" w:space="0" w:color="000000"/>
              <w:left w:val="single" w:sz="4" w:space="0" w:color="000000"/>
              <w:bottom w:val="single" w:sz="4" w:space="0" w:color="000000"/>
              <w:right w:val="single" w:sz="4" w:space="0" w:color="auto"/>
            </w:tcBorders>
            <w:shd w:val="clear" w:color="auto" w:fill="auto"/>
            <w:vAlign w:val="center"/>
          </w:tcPr>
          <w:p/>
        </w:tc>
        <w:tc>
          <w:tcPr>
            <w:tcW w:w="775"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b/>
                <w:szCs w:val="21"/>
              </w:rPr>
            </w:pPr>
            <w:r>
              <w:rPr>
                <w:rFonts w:hint="eastAsia"/>
                <w:b/>
                <w:szCs w:val="21"/>
              </w:rPr>
              <w:t>保密管理制度和措施（</w:t>
            </w:r>
            <w:bookmarkStart w:id="0" w:name="_GoBack"/>
            <w:bookmarkEnd w:id="0"/>
            <w:r>
              <w:rPr>
                <w:rFonts w:hint="eastAsia"/>
                <w:b/>
                <w:szCs w:val="21"/>
              </w:rPr>
              <w:t>15分）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b/>
                <w:bCs/>
                <w:szCs w:val="21"/>
              </w:rPr>
            </w:pPr>
            <w:r>
              <w:rPr>
                <w:rFonts w:ascii="宋体" w:cs="宋体" w:hAnsi="宋体" w:hint="eastAsia"/>
                <w:b/>
                <w:bCs/>
                <w:szCs w:val="21"/>
              </w:rPr>
              <w:t>未提供相关内容或提供的内容与本项目不相符得0分。</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val="zh-CN"/>
              </w:rPr>
            </w:pPr>
            <w:r>
              <w:rPr>
                <w:rFonts w:ascii="宋体" w:cs="宋体" w:hAnsi="宋体" w:hint="eastAsia"/>
                <w:szCs w:val="21"/>
                <w:lang w:val="zh-CN"/>
              </w:rPr>
              <w:t>一档（10分）：有简单的保密管理制度，保密措施及安全保障方案及差错率防范措施，基本满足项目保密要求。</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lang w:val="zh-CN"/>
              </w:rPr>
            </w:pPr>
            <w:r>
              <w:rPr>
                <w:rFonts w:ascii="宋体" w:cs="宋体" w:hAnsi="宋体" w:hint="eastAsia"/>
                <w:bCs/>
                <w:szCs w:val="21"/>
                <w:lang w:val="zh-CN"/>
              </w:rPr>
              <w:t>二</w:t>
            </w:r>
            <w:r>
              <w:rPr>
                <w:rFonts w:ascii="宋体" w:cs="宋体" w:hAnsi="宋体" w:hint="eastAsia"/>
                <w:szCs w:val="21"/>
                <w:lang w:val="zh-CN"/>
              </w:rPr>
              <w:t>档（15分）：</w:t>
            </w:r>
            <w:r>
              <w:rPr>
                <w:rFonts w:ascii="宋体" w:cs="宋体" w:hAnsi="宋体" w:hint="eastAsia"/>
                <w:bCs/>
                <w:szCs w:val="21"/>
                <w:lang w:val="zh-CN"/>
              </w:rPr>
              <w:t>有详细、合理、可靠的保密措施及安全保障方案及差错率防范措施，制度完善，措施有效到位。</w:t>
            </w:r>
          </w:p>
        </w:tc>
      </w:tr>
      <w:tr>
        <w:trPr>
          <w:trHeight w:val="808"/>
        </w:trPr>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color w:val="000000"/>
                <w:kern w:val="0"/>
                <w:szCs w:val="21"/>
              </w:rPr>
            </w:pPr>
            <w:r>
              <w:rPr>
                <w:color w:val="000000"/>
                <w:kern w:val="0"/>
                <w:szCs w:val="21"/>
              </w:rPr>
              <w:t>3</w:t>
            </w:r>
          </w:p>
        </w:tc>
        <w:tc>
          <w:tcPr>
            <w:tcW w:w="14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b/>
                <w:color w:val="000000"/>
                <w:kern w:val="0"/>
                <w:szCs w:val="21"/>
              </w:rPr>
            </w:pPr>
            <w:r>
              <w:rPr>
                <w:b/>
                <w:bCs/>
              </w:rPr>
              <w:t>商务分</w:t>
            </w:r>
            <w:r>
              <w:rPr>
                <w:b/>
                <w:color w:val="000000"/>
                <w:kern w:val="0"/>
                <w:szCs w:val="21"/>
              </w:rPr>
              <w:t>（15分）</w:t>
            </w:r>
          </w:p>
        </w:tc>
        <w:tc>
          <w:tcPr>
            <w:tcW w:w="7500"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bCs/>
                <w:szCs w:val="21"/>
              </w:rPr>
            </w:pPr>
            <w:r>
              <w:rPr>
                <w:rFonts w:ascii="宋体" w:cs="宋体" w:hAnsi="宋体" w:hint="eastAsia"/>
                <w:szCs w:val="21"/>
              </w:rPr>
              <w:t>（1）</w:t>
            </w:r>
            <w:r>
              <w:rPr>
                <w:rFonts w:ascii="宋体" w:cs="宋体" w:hAnsi="宋体" w:hint="eastAsia"/>
                <w:bCs/>
                <w:szCs w:val="21"/>
              </w:rPr>
              <w:t>供应商具有ISO9001质量管理体系认证证书的得</w:t>
            </w:r>
            <w:r>
              <w:rPr>
                <w:rFonts w:ascii="宋体" w:cs="宋体" w:hAnsi="宋体"/>
                <w:bCs/>
                <w:szCs w:val="21"/>
              </w:rPr>
              <w:t>1</w:t>
            </w:r>
            <w:r>
              <w:rPr>
                <w:rFonts w:ascii="宋体" w:cs="宋体" w:hAnsi="宋体" w:hint="eastAsia"/>
                <w:bCs/>
                <w:szCs w:val="21"/>
              </w:rPr>
              <w:t>分</w:t>
            </w:r>
            <w:r>
              <w:rPr>
                <w:rFonts w:ascii="宋体" w:cs="宋体" w:hAnsi="宋体" w:hint="eastAsia"/>
                <w:szCs w:val="21"/>
              </w:rPr>
              <w:t>（响应文件必须提供有效证明文件复印件并加盖供应商公章）</w:t>
            </w:r>
            <w:r>
              <w:rPr>
                <w:rFonts w:ascii="宋体" w:cs="宋体" w:hAnsi="宋体" w:hint="eastAsia"/>
                <w:bCs/>
                <w:szCs w:val="21"/>
              </w:rPr>
              <w:t>。</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rPr>
            </w:pPr>
            <w:r>
              <w:rPr>
                <w:rFonts w:ascii="宋体" w:cs="宋体" w:hAnsi="宋体" w:hint="eastAsia"/>
                <w:szCs w:val="21"/>
              </w:rPr>
              <w:t>（2）供应商具备较强的软件系统开发能力和自主研发核心竞争力，</w:t>
            </w:r>
            <w:r>
              <w:rPr>
                <w:rFonts w:ascii="宋体" w:cs="宋体" w:hAnsi="宋体"/>
                <w:szCs w:val="21"/>
              </w:rPr>
              <w:t>供应商</w:t>
            </w:r>
            <w:r>
              <w:rPr>
                <w:rFonts w:ascii="宋体" w:cs="宋体" w:hAnsi="宋体" w:hint="eastAsia"/>
                <w:szCs w:val="21"/>
                <w:lang w:bidi="ar-SA"/>
              </w:rPr>
              <w:t>具有与本项目相关的软件著作权，每有1个得0.5分；满分4分</w:t>
            </w:r>
            <w:r>
              <w:rPr>
                <w:rFonts w:ascii="宋体" w:cs="宋体" w:hAnsi="宋体" w:hint="eastAsia"/>
                <w:szCs w:val="21"/>
              </w:rPr>
              <w:t>（响应文件必须提供有效证明文件复印件并加盖供应商公章）。</w:t>
            </w:r>
          </w:p>
          <w:p>
            <w:pPr>
              <w:pStyle w:val="35"/>
              <w:keepNext w:val="0"/>
              <w:keepLines w:val="0"/>
              <w:pageBreakBefore w:val="0"/>
              <w:widowControl w:val="0"/>
              <w:kinsoku/>
              <w:wordWrap/>
              <w:overflowPunct/>
              <w:topLinePunct w:val="0"/>
              <w:autoSpaceDE/>
              <w:autoSpaceDN/>
              <w:snapToGrid/>
              <w:spacing w:line="400" w:lineRule="exact"/>
              <w:ind w:left="0"/>
              <w:rPr>
                <w:rFonts w:ascii="宋体" w:cs="宋体" w:hAnsi="宋体" w:hint="eastAsia"/>
                <w:szCs w:val="21"/>
              </w:rPr>
            </w:pPr>
            <w:r>
              <w:rPr>
                <w:rFonts w:ascii="宋体" w:cs="宋体" w:hAnsi="宋体" w:hint="eastAsia"/>
                <w:szCs w:val="21"/>
              </w:rPr>
              <w:t>（</w:t>
            </w:r>
            <w:r>
              <w:rPr>
                <w:rFonts w:ascii="宋体" w:cs="宋体" w:hAnsi="宋体"/>
                <w:szCs w:val="21"/>
              </w:rPr>
              <w:t>3</w:t>
            </w:r>
            <w:r>
              <w:rPr>
                <w:rFonts w:ascii="宋体" w:cs="宋体" w:hAnsi="宋体" w:hint="eastAsia"/>
                <w:szCs w:val="21"/>
              </w:rPr>
              <w:t>）2022年以来供应商提供同类项目业绩，每项得1分，满分</w:t>
            </w:r>
            <w:r>
              <w:rPr>
                <w:rFonts w:ascii="宋体" w:cs="宋体" w:hAnsi="宋体"/>
                <w:szCs w:val="21"/>
              </w:rPr>
              <w:t>10</w:t>
            </w:r>
            <w:r>
              <w:rPr>
                <w:rFonts w:ascii="宋体" w:cs="宋体" w:hAnsi="宋体" w:hint="eastAsia"/>
                <w:szCs w:val="21"/>
              </w:rPr>
              <w:t>分（以合同或中标（成交）通知书复印件为准，并加盖供应商公章）。</w:t>
            </w:r>
          </w:p>
        </w:tc>
      </w:tr>
    </w:tbl>
    <w:p>
      <w:pPr>
        <w:snapToGrid w:val="0"/>
        <w:spacing w:line="480" w:lineRule="exact"/>
        <w:ind w:firstLineChars="196" w:firstLine="549"/>
        <w:jc w:val="left"/>
        <w:rPr>
          <w:rFonts w:eastAsia="仿宋_GB2312"/>
          <w:b/>
          <w:sz w:val="28"/>
          <w:szCs w:val="28"/>
        </w:rPr>
      </w:pPr>
      <w:r>
        <w:rPr>
          <w:rFonts w:eastAsia="仿宋_GB2312"/>
          <w:b/>
          <w:sz w:val="28"/>
          <w:szCs w:val="28"/>
        </w:rPr>
        <w:t>（三）成交候选人确定/推荐原则</w:t>
      </w:r>
    </w:p>
    <w:p>
      <w:pPr>
        <w:snapToGrid w:val="0"/>
        <w:spacing w:line="480" w:lineRule="exact"/>
        <w:ind w:firstLineChars="200" w:firstLine="560"/>
        <w:jc w:val="left"/>
        <w:rPr>
          <w:rFonts w:eastAsia="方正仿宋_GBK"/>
          <w:color w:val="000000"/>
          <w:sz w:val="28"/>
          <w:szCs w:val="28"/>
        </w:rPr>
      </w:pPr>
      <w:r>
        <w:rPr>
          <w:rFonts w:eastAsia="方正仿宋_GBK"/>
          <w:color w:val="000000"/>
          <w:sz w:val="28"/>
          <w:szCs w:val="28"/>
        </w:rPr>
        <w:t>评审小组将按总得分由高到低排列成交候选供应商顺序（总得分相同时，依次按投标报价低优先、技术分高优先、质量保证期长优先、提交服务成果时间短优先、处理问题到达时间短优先的顺序排列），并依照次序确定/推荐成交候选人。</w:t>
      </w:r>
    </w:p>
    <w:p>
      <w:pPr>
        <w:spacing w:line="480" w:lineRule="exact"/>
        <w:ind w:firstLine="630"/>
        <w:rPr>
          <w:rFonts w:eastAsia="方正仿宋_GBK"/>
          <w:sz w:val="28"/>
          <w:szCs w:val="28"/>
        </w:rPr>
      </w:pPr>
      <w:r>
        <w:rPr>
          <w:rFonts w:eastAsia="方正黑体_GBK"/>
          <w:color w:val="000000"/>
          <w:sz w:val="28"/>
          <w:szCs w:val="28"/>
        </w:rPr>
        <w:t>六、评审地点</w:t>
      </w:r>
      <w:r>
        <w:rPr>
          <w:rFonts w:eastAsia="方正仿宋_GBK"/>
          <w:color w:val="000000"/>
          <w:sz w:val="28"/>
          <w:szCs w:val="28"/>
        </w:rPr>
        <w:t>：南宁海关滨湖办公区0702评</w:t>
      </w:r>
      <w:r>
        <w:rPr>
          <w:rFonts w:eastAsia="方正仿宋_GBK"/>
          <w:sz w:val="28"/>
          <w:szCs w:val="28"/>
        </w:rPr>
        <w:t>审室。</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方正仿宋_GBK"/>
    <w:panose1 w:val="02010609030101010101"/>
    <w:charset w:val="86"/>
    <w:family w:val="modern"/>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华文宋体"/>
    <w:panose1 w:val="02010600030101010101"/>
    <w:charset w:val="86"/>
    <w:family w:val="auto"/>
    <w:pitch w:val="variable"/>
    <w:sig w:usb0="00000003" w:usb1="288F0000"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华文细黑"/>
    <w:panose1 w:val="02010600040101010101"/>
    <w:charset w:val="86"/>
    <w:family w:val="auto"/>
    <w:pitch w:val="variable"/>
    <w:sig w:usb0="00000287" w:usb1="080F0000" w:usb2="00000000" w:usb3="00000000" w:csb0="0004009F" w:csb1="DFD70000"/>
  </w:font>
  <w:font w:name="Courier New">
    <w:altName w:val="DejaVu Sans"/>
    <w:panose1 w:val="02070309020205020404"/>
    <w:charset w:val="00"/>
    <w:family w:val="modern"/>
    <w:pitch w:val="variable"/>
    <w:sig w:usb0="E0002AFF" w:usb1="C0007843" w:usb2="00000009" w:usb3="00000000" w:csb0="000001FF" w:csb1="00000000"/>
  </w:font>
  <w:font w:name="微软雅黑">
    <w:altName w:val="华文细黑"/>
    <w:panose1 w:val="020B0503020204020204"/>
    <w:charset w:val="86"/>
    <w:family w:val="swiss"/>
    <w:pitch w:val="variable"/>
    <w:sig w:usb0="80000287" w:usb1="280F3C52" w:usb2="00000016" w:usb3="00000000" w:csb0="0004001F"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auto"/>
    <w:pitch w:val="variable"/>
    <w:sig w:usb0="00007A87" w:usb1="80000000" w:usb2="00000008" w:usb3="00000000" w:csb0="400001FF" w:csb1="FFFF0000"/>
  </w:font>
  <w:font w:name="Century">
    <w:altName w:val="DejaVu Sans"/>
    <w:panose1 w:val="02040604050505020304"/>
    <w:charset w:val="00"/>
    <w:family w:val="roman"/>
    <w:pitch w:val="variable"/>
    <w:sig w:usb0="00000287" w:usb1="00000000" w:usb2="00000000" w:usb3="00000000" w:csb0="000000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纯文本1"/>
    <w:basedOn w:val="0"/>
    <w:next w:val="0"/>
    <w:pPr>
      <w:widowControl w:val="0"/>
      <w:suppressAutoHyphens/>
    </w:pPr>
    <w:rPr>
      <w:rFonts w:ascii="宋体" w:cs="Calibri"/>
      <w:sz w:val="20"/>
      <w:szCs w:val="21"/>
      <w:lang w:eastAsia="ar-SA"/>
    </w:rPr>
  </w:style>
  <w:style w:type="paragraph" w:customStyle="1" w:styleId="22">
    <w:name w:val="样式 21 10 磅"/>
    <w:next w:val="20"/>
    <w:pPr>
      <w:widowControl w:val="0"/>
      <w:jc w:val="both"/>
    </w:pPr>
    <w:rPr>
      <w:rFonts w:ascii="Times New Roman" w:eastAsia="宋体" w:cs="Times New Roman" w:hAnsi="Times New Roman"/>
      <w:kern w:val="2"/>
      <w:sz w:val="21"/>
      <w:szCs w:val="24"/>
      <w:lang w:val="en-US" w:eastAsia="zh-CN" w:bidi="ar-SA"/>
    </w:rPr>
  </w:style>
  <w:style w:type="paragraph" w:styleId="23">
    <w:name w:val="annotation text"/>
    <w:basedOn w:val="0"/>
    <w:pPr>
      <w:jc w:val="left"/>
    </w:pPr>
  </w:style>
  <w:style w:type="paragraph" w:styleId="24">
    <w:name w:val="annotation subject"/>
    <w:basedOn w:val="23"/>
    <w:next w:val="23"/>
    <w:rPr>
      <w:b/>
      <w:bCs/>
    </w:rPr>
  </w:style>
  <w:style w:type="paragraph" w:customStyle="1" w:styleId="25">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7">
    <w:name w:val="样式 12 10 磅"/>
    <w:pPr>
      <w:widowControl w:val="0"/>
      <w:jc w:val="both"/>
    </w:pPr>
    <w:rPr>
      <w:rFonts w:ascii="Times New Roman" w:eastAsia="宋体" w:cs="Times New Roman" w:hAnsi="Times New Roman"/>
      <w:kern w:val="2"/>
      <w:sz w:val="21"/>
      <w:szCs w:val="24"/>
      <w:lang w:val="en-US" w:eastAsia="zh-CN" w:bidi="ar-SA"/>
    </w:rPr>
  </w:style>
  <w:style w:type="character" w:styleId="38">
    <w:name w:val="HTML Keyboard"/>
    <w:basedOn w:val="10"/>
    <w:rPr>
      <w:rFonts w:ascii="Courier New" w:hAnsi="Courier New"/>
      <w:sz w:val="20"/>
      <w:szCs w:val="20"/>
    </w:rPr>
  </w:style>
  <w:style w:type="paragraph" w:customStyle="1" w:styleId="39">
    <w:name w:val="样式 17 10 磅"/>
    <w:pPr>
      <w:widowControl w:val="0"/>
      <w:jc w:val="both"/>
    </w:pPr>
    <w:rPr>
      <w:rFonts w:ascii="Calibri" w:eastAsia="宋体" w:cs="Arial" w:hAnsi="Calibri"/>
      <w:kern w:val="2"/>
      <w:sz w:val="21"/>
      <w:szCs w:val="22"/>
      <w:lang w:val="en-US" w:eastAsia="zh-CN" w:bidi="ar-SA"/>
    </w:rPr>
  </w:style>
  <w:style w:type="paragraph" w:styleId="40">
    <w:name w:val="toc 1"/>
    <w:basedOn w:val="0"/>
    <w:autoRedefine/>
    <w:next w:val="0"/>
  </w:style>
  <w:style w:type="paragraph" w:styleId="41">
    <w:name w:val="Body Text"/>
    <w:basedOn w:val="0"/>
    <w:next w:val="37"/>
    <w:pPr>
      <w:widowControl w:val="0"/>
      <w:spacing w:after="120"/>
      <w:jc w:val="both"/>
    </w:pPr>
    <w:rPr>
      <w:rFonts w:ascii="Times New Roman" w:eastAsia="宋体" w:cs="Times New Roman" w:hAnsi="Times New Roman"/>
      <w:kern w:val="2"/>
      <w:sz w:val="21"/>
      <w:szCs w:val="24"/>
      <w:lang w:val="en-US" w:eastAsia="zh-CN" w:bidi="ar-SA"/>
    </w:rPr>
  </w:style>
  <w:style w:type="paragraph" w:customStyle="1" w:styleId="42">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43">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15 10 磅"/>
    <w:basedOn w:val="0"/>
    <w:pPr>
      <w:widowControl w:val="0"/>
      <w:jc w:val="both"/>
    </w:pPr>
    <w:rPr>
      <w:rFonts w:ascii="宋体" w:eastAsia="宋体" w:cs="Century" w:hAnsi="Courier New"/>
      <w:kern w:val="2"/>
      <w:sz w:val="21"/>
      <w:szCs w:val="21"/>
      <w:lang w:val="en-US" w:eastAsia="zh-CN" w:bidi="ar-SA"/>
    </w:rPr>
  </w:style>
  <w:style w:type="paragraph" w:customStyle="1" w:styleId="45">
    <w:name w:val="样式 16 10 磅"/>
    <w:basedOn w:val="0"/>
    <w:pPr>
      <w:widowControl w:val="0"/>
      <w:jc w:val="both"/>
    </w:pPr>
    <w:rPr>
      <w:rFonts w:ascii="宋体" w:eastAsia="宋体" w:cs="Century" w:hAnsi="Courier New"/>
      <w:kern w:val="2"/>
      <w:sz w:val="21"/>
      <w:szCs w:val="21"/>
      <w:lang w:val="en-US" w:eastAsia="zh-CN" w:bidi="ar-SA"/>
    </w:rPr>
  </w:style>
  <w:style w:type="paragraph" w:customStyle="1" w:styleId="46">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47">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48">
    <w:name w:val="样式 20 10 磅"/>
    <w:basedOn w:val="0"/>
    <w:pPr>
      <w:widowControl w:val="0"/>
      <w:jc w:val="both"/>
    </w:pPr>
    <w:rPr>
      <w:rFonts w:ascii="宋体" w:eastAsia="宋体" w:cs="Times New Roman" w:hAnsi="Courier New"/>
      <w:kern w:val="0"/>
      <w:sz w:val="20"/>
      <w:szCs w:val="21"/>
      <w:lang w:val="en-US" w:eastAsia="zh-CN" w:bidi="ar-SA"/>
    </w:rPr>
  </w:style>
  <w:style w:type="paragraph" w:customStyle="1" w:styleId="49">
    <w:name w:val="样式 22 10 磅"/>
    <w:basedOn w:val="0"/>
    <w:pPr>
      <w:widowControl w:val="0"/>
      <w:jc w:val="both"/>
    </w:pPr>
    <w:rPr>
      <w:rFonts w:ascii="宋体" w:eastAsia="宋体" w:cs="Times New Roman" w:hAnsi="Courier New"/>
      <w:kern w:val="0"/>
      <w:sz w:val="20"/>
      <w:szCs w:val="21"/>
      <w:lang w:val="en-US" w:eastAsia="zh-CN" w:bidi="ar-SA"/>
    </w:rPr>
  </w:style>
  <w:style w:type="paragraph" w:customStyle="1" w:styleId="50">
    <w:name w:val="样式 23 10 磅"/>
    <w:basedOn w:val="0"/>
    <w:pPr>
      <w:widowControl w:val="0"/>
      <w:jc w:val="both"/>
    </w:pPr>
    <w:rPr>
      <w:rFonts w:ascii="宋体" w:eastAsia="宋体" w:cs="Times New Roman" w:hAnsi="Courier New"/>
      <w:kern w:val="0"/>
      <w:sz w:val="20"/>
      <w:szCs w:val="21"/>
      <w:lang w:val="en-US" w:eastAsia="zh-CN" w:bidi="ar-SA"/>
    </w:rPr>
  </w:style>
  <w:style w:type="paragraph" w:customStyle="1" w:styleId="51">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26 10 磅"/>
    <w:basedOn w:val="0"/>
    <w:pPr>
      <w:widowControl w:val="0"/>
      <w:spacing w:after="120"/>
      <w:jc w:val="both"/>
    </w:pPr>
    <w:rPr>
      <w:rFonts w:ascii="Times New Roman" w:eastAsia="宋体" w:cs="Times New Roman" w:hAnsi="Times New Roman"/>
      <w:kern w:val="2"/>
      <w:sz w:val="21"/>
      <w:szCs w:val="24"/>
      <w:lang w:val="en-US" w:eastAsia="zh-CN" w:bidi="ar-SA"/>
    </w:rPr>
  </w:style>
  <w:style w:type="paragraph" w:customStyle="1" w:styleId="54">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57">
    <w:name w:val="样式 30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AC35B830-2939-4704-BCF3-40DA0C5D49D2}">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1367</TotalTime>
  <Application>Yozo_Office27021597764231179</Application>
  <Pages>4</Pages>
  <Words>0</Words>
  <Characters>1796</Characters>
  <Lines>0</Lines>
  <Paragraphs>41</Paragraphs>
  <CharactersWithSpaces>2395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ghzx</cp:lastModifiedBy>
  <cp:revision>21</cp:revision>
  <cp:lastPrinted>2022-04-12T09:32:00Z</cp:lastPrinted>
  <dcterms:created xsi:type="dcterms:W3CDTF">2022-08-23T09:15:00Z</dcterms:created>
  <dcterms:modified xsi:type="dcterms:W3CDTF">2025-12-18T06:37:02Z</dcterms:modified>
</cp:coreProperties>
</file>