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sz w:val="32"/>
          <w:szCs w:val="32"/>
        </w:rPr>
      </w:pPr>
      <w:bookmarkStart w:id="0" w:name="_GoBack"/>
      <w:bookmarkEnd w:id="0"/>
      <w:r>
        <w:rPr>
          <w:rFonts w:eastAsia="方正小标宋_GBK" w:hint="eastAsia"/>
          <w:bCs/>
          <w:sz w:val="32"/>
          <w:szCs w:val="32"/>
        </w:rPr>
        <w:t>评审办法</w:t>
      </w:r>
    </w:p>
    <w:p>
      <w:pPr>
        <w:spacing w:line="540" w:lineRule="exact"/>
        <w:jc w:val="center"/>
        <w:rPr>
          <w:rFonts w:ascii="方正小标宋_GBK" w:eastAsia="方正小标宋_GBK"/>
          <w:bCs/>
          <w:sz w:val="28"/>
          <w:szCs w:val="28"/>
        </w:rPr>
      </w:pPr>
      <w:r>
        <w:rPr>
          <w:rFonts w:ascii="方正小标宋_GBK" w:eastAsia="方正小标宋_GBK" w:hint="eastAsia"/>
          <w:bCs/>
          <w:sz w:val="28"/>
          <w:szCs w:val="28"/>
        </w:rPr>
        <w:t>（综合评分法）</w:t>
      </w:r>
    </w:p>
    <w:p>
      <w:pPr>
        <w:spacing w:line="480" w:lineRule="exact"/>
        <w:ind w:firstLineChars="200" w:firstLine="560"/>
        <w:rPr>
          <w:rFonts w:eastAsia="方正黑体_GBK"/>
          <w:sz w:val="28"/>
          <w:szCs w:val="28"/>
        </w:rPr>
      </w:pPr>
      <w:r>
        <w:rPr>
          <w:rFonts w:eastAsia="方正黑体_GBK" w:hint="eastAsia"/>
          <w:sz w:val="28"/>
          <w:szCs w:val="28"/>
        </w:rPr>
        <w:t>一、</w:t>
      </w:r>
      <w:r>
        <w:rPr>
          <w:rFonts w:ascii="方正黑体_GBK" w:eastAsia="方正黑体_GBK" w:hint="eastAsia"/>
          <w:b/>
          <w:sz w:val="28"/>
          <w:szCs w:val="28"/>
        </w:rPr>
        <w:t>响应文件送达及密封检查</w:t>
      </w:r>
    </w:p>
    <w:p>
      <w:pPr>
        <w:spacing w:line="480" w:lineRule="exact"/>
        <w:ind w:firstLineChars="200" w:firstLine="560"/>
        <w:rPr>
          <w:rFonts w:ascii="方正楷体_GBK" w:eastAsia="方正楷体_GBK"/>
          <w:b/>
          <w:sz w:val="28"/>
          <w:szCs w:val="28"/>
        </w:rPr>
      </w:pPr>
      <w:r>
        <w:rPr>
          <w:rFonts w:ascii="方正楷体_GBK" w:eastAsia="方正楷体_GBK" w:hint="eastAsia"/>
          <w:b/>
          <w:sz w:val="28"/>
          <w:szCs w:val="28"/>
        </w:rPr>
        <w:t>（一）查看响应文件送达时间：</w:t>
      </w:r>
    </w:p>
    <w:p>
      <w:pPr>
        <w:spacing w:line="480" w:lineRule="exact"/>
        <w:ind w:firstLineChars="200" w:firstLine="560"/>
        <w:rPr>
          <w:rFonts w:eastAsia="方正仿宋_GBK"/>
          <w:sz w:val="28"/>
          <w:szCs w:val="28"/>
        </w:rPr>
      </w:pPr>
      <w:r>
        <w:rPr>
          <w:rFonts w:eastAsia="方正仿宋_GBK" w:hint="eastAsia"/>
          <w:sz w:val="28"/>
          <w:szCs w:val="28"/>
        </w:rPr>
        <w:t>在《采购公告》规定的报价截止时间之前将响应文件送达。</w:t>
      </w:r>
    </w:p>
    <w:p>
      <w:pPr>
        <w:spacing w:line="480" w:lineRule="exact"/>
        <w:ind w:left="640"/>
        <w:rPr>
          <w:rFonts w:eastAsia="方正仿宋_GBK"/>
          <w:sz w:val="28"/>
          <w:szCs w:val="28"/>
        </w:rPr>
      </w:pPr>
      <w:r>
        <w:rPr>
          <w:rFonts w:ascii="方正楷体_GBK" w:eastAsia="方正楷体_GBK" w:hint="eastAsia"/>
          <w:b/>
          <w:sz w:val="28"/>
          <w:szCs w:val="28"/>
        </w:rPr>
        <w:t>（二）响应文件包装密封要求</w:t>
      </w:r>
      <w:r>
        <w:rPr>
          <w:rFonts w:eastAsia="方正仿宋_GBK" w:hint="eastAsia"/>
          <w:sz w:val="28"/>
          <w:szCs w:val="28"/>
        </w:rPr>
        <w:t>。</w:t>
      </w:r>
    </w:p>
    <w:p>
      <w:pPr>
        <w:spacing w:line="480" w:lineRule="exact"/>
        <w:ind w:firstLineChars="200" w:firstLine="560"/>
        <w:rPr>
          <w:rFonts w:eastAsia="方正仿宋_GBK"/>
          <w:sz w:val="28"/>
          <w:szCs w:val="28"/>
        </w:rPr>
      </w:pPr>
      <w:r>
        <w:rPr>
          <w:rFonts w:eastAsia="方正仿宋_GBK" w:hint="eastAsia"/>
          <w:sz w:val="28"/>
          <w:szCs w:val="28"/>
        </w:rPr>
        <w:t>供应商应将所有响应文件装在一个密封袋内，响应文件密封袋的封口处应加贴封条并加盖供应商法人单位公章以示密封。</w:t>
      </w:r>
    </w:p>
    <w:p>
      <w:pPr>
        <w:spacing w:line="480" w:lineRule="exact"/>
        <w:ind w:firstLineChars="200" w:firstLine="560"/>
        <w:rPr>
          <w:rFonts w:eastAsia="方正黑体_GBK"/>
          <w:sz w:val="28"/>
          <w:szCs w:val="28"/>
        </w:rPr>
      </w:pPr>
      <w:r>
        <w:rPr>
          <w:rFonts w:eastAsia="方正黑体_GBK" w:hint="eastAsia"/>
          <w:sz w:val="28"/>
          <w:szCs w:val="28"/>
        </w:rPr>
        <w:t>二、资格审查</w:t>
      </w:r>
    </w:p>
    <w:p>
      <w:pPr>
        <w:spacing w:line="480" w:lineRule="exact"/>
        <w:ind w:firstLineChars="200" w:firstLine="560"/>
        <w:rPr>
          <w:rFonts w:eastAsia="方正仿宋_GBK"/>
          <w:sz w:val="28"/>
          <w:szCs w:val="28"/>
        </w:rPr>
      </w:pPr>
      <w:r>
        <w:rPr>
          <w:rFonts w:eastAsia="方正仿宋_GBK" w:hint="eastAsia"/>
          <w:sz w:val="28"/>
          <w:szCs w:val="28"/>
        </w:rPr>
        <w:t>具备《采购公告》中企业资质，通过审查不足3家的应废标，采购人重新组织采购。</w:t>
      </w:r>
    </w:p>
    <w:p>
      <w:pPr>
        <w:spacing w:line="480" w:lineRule="exact"/>
        <w:ind w:left="640"/>
        <w:rPr>
          <w:rFonts w:eastAsia="方正黑体_GBK"/>
          <w:sz w:val="28"/>
          <w:szCs w:val="28"/>
        </w:rPr>
      </w:pPr>
      <w:r>
        <w:rPr>
          <w:rFonts w:eastAsia="方正黑体_GBK" w:hint="eastAsia"/>
          <w:sz w:val="28"/>
          <w:szCs w:val="28"/>
        </w:rPr>
        <w:t>三、符合性审查</w:t>
      </w:r>
    </w:p>
    <w:p>
      <w:pPr>
        <w:spacing w:line="480" w:lineRule="exact"/>
        <w:ind w:left="640"/>
        <w:rPr>
          <w:rFonts w:ascii="方正楷体_GBK" w:eastAsia="方正楷体_GBK"/>
          <w:b/>
          <w:sz w:val="28"/>
          <w:szCs w:val="28"/>
        </w:rPr>
      </w:pPr>
      <w:r>
        <w:rPr>
          <w:rFonts w:ascii="方正楷体_GBK" w:eastAsia="方正楷体_GBK"/>
          <w:b/>
          <w:sz w:val="28"/>
          <w:szCs w:val="28"/>
        </w:rPr>
        <w:t>（一）</w:t>
      </w:r>
      <w:r>
        <w:rPr>
          <w:rFonts w:ascii="方正楷体_GBK" w:eastAsia="方正楷体_GBK" w:hint="eastAsia"/>
          <w:b/>
          <w:sz w:val="28"/>
          <w:szCs w:val="28"/>
        </w:rPr>
        <w:t>响应文件组成：</w:t>
      </w:r>
    </w:p>
    <w:p>
      <w:pPr>
        <w:spacing w:line="480" w:lineRule="exact"/>
        <w:ind w:leftChars="-1" w:left="-2" w:firstLineChars="221" w:firstLine="619"/>
        <w:rPr>
          <w:rFonts w:eastAsia="方正仿宋_GBK"/>
          <w:sz w:val="28"/>
          <w:szCs w:val="28"/>
        </w:rPr>
      </w:pPr>
      <w:r>
        <w:rPr>
          <w:rFonts w:eastAsia="方正仿宋_GBK" w:hint="eastAsia"/>
          <w:sz w:val="28"/>
          <w:szCs w:val="28"/>
        </w:rPr>
        <w:t>1.报价函（附件1，必须提供）；</w:t>
      </w:r>
    </w:p>
    <w:p>
      <w:pPr>
        <w:spacing w:line="480" w:lineRule="exact"/>
        <w:ind w:leftChars="-1" w:left="-2" w:firstLineChars="221" w:firstLine="619"/>
        <w:rPr>
          <w:rFonts w:eastAsia="方正仿宋_GBK"/>
          <w:sz w:val="28"/>
          <w:szCs w:val="28"/>
        </w:rPr>
      </w:pPr>
      <w:r>
        <w:rPr>
          <w:rFonts w:eastAsia="方正仿宋_GBK" w:hint="eastAsia"/>
          <w:sz w:val="28"/>
          <w:szCs w:val="28"/>
        </w:rPr>
        <w:t>2.报价明细表、技术要求偏离</w:t>
      </w:r>
      <w:r>
        <w:rPr>
          <w:rFonts w:eastAsia="方正仿宋_GBK"/>
          <w:sz w:val="28"/>
          <w:szCs w:val="28"/>
        </w:rPr>
        <w:t>说明</w:t>
      </w:r>
      <w:r>
        <w:rPr>
          <w:rFonts w:eastAsia="方正仿宋_GBK" w:hint="eastAsia"/>
          <w:sz w:val="28"/>
          <w:szCs w:val="28"/>
        </w:rPr>
        <w:t>表（附件2，必须提供）；</w:t>
      </w:r>
    </w:p>
    <w:p>
      <w:pPr>
        <w:spacing w:line="480" w:lineRule="exact"/>
        <w:ind w:leftChars="-1" w:left="-2" w:firstLineChars="221" w:firstLine="619"/>
        <w:rPr>
          <w:rFonts w:eastAsia="方正仿宋_GBK"/>
          <w:sz w:val="28"/>
          <w:szCs w:val="28"/>
        </w:rPr>
      </w:pPr>
      <w:r>
        <w:rPr>
          <w:rFonts w:eastAsia="方正仿宋_GBK" w:hint="eastAsia"/>
          <w:sz w:val="28"/>
          <w:szCs w:val="28"/>
        </w:rPr>
        <w:t>3.声明（附件3，必须提供）；</w:t>
      </w:r>
    </w:p>
    <w:p>
      <w:pPr>
        <w:spacing w:line="480" w:lineRule="exact"/>
        <w:ind w:leftChars="-1" w:left="-2" w:firstLineChars="221" w:firstLine="619"/>
        <w:rPr>
          <w:rFonts w:eastAsia="方正仿宋_GBK"/>
          <w:sz w:val="28"/>
          <w:szCs w:val="28"/>
        </w:rPr>
      </w:pPr>
      <w:r>
        <w:rPr>
          <w:rFonts w:eastAsia="方正仿宋_GBK" w:hint="eastAsia"/>
          <w:sz w:val="28"/>
          <w:szCs w:val="28"/>
        </w:rPr>
        <w:t>4.有效的“营业执照”或“事业单位法人证书”副本复印件（必须提供）；</w:t>
      </w:r>
    </w:p>
    <w:p>
      <w:pPr>
        <w:spacing w:line="480" w:lineRule="exact"/>
        <w:ind w:leftChars="-1" w:left="-2" w:firstLineChars="221" w:firstLine="619"/>
        <w:rPr>
          <w:rFonts w:eastAsia="方正仿宋_GBK"/>
          <w:sz w:val="28"/>
          <w:szCs w:val="28"/>
        </w:rPr>
      </w:pPr>
      <w:r>
        <w:rPr>
          <w:rFonts w:eastAsia="方正仿宋_GBK" w:hint="eastAsia"/>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hint="eastAsia"/>
          <w:sz w:val="28"/>
          <w:szCs w:val="28"/>
        </w:rPr>
        <w:t>6.供应商的法人授权委托书、委托代理人身份证正反面复印件（委托代理时必</w:t>
      </w:r>
      <w:r>
        <w:rPr>
          <w:rFonts w:eastAsia="方正仿宋_GBK"/>
          <w:sz w:val="28"/>
          <w:szCs w:val="28"/>
        </w:rPr>
        <w:t>须提供，同时要加盖单位公章。未提供或未加盖公章的，将被认定为资格审查不合格，报价无效。）；</w:t>
      </w:r>
    </w:p>
    <w:p>
      <w:pPr>
        <w:spacing w:line="480" w:lineRule="exact"/>
        <w:ind w:leftChars="-1" w:left="-2" w:firstLineChars="221" w:firstLine="619"/>
        <w:rPr>
          <w:rFonts w:eastAsia="方正仿宋_GBK"/>
          <w:sz w:val="28"/>
          <w:szCs w:val="28"/>
        </w:rPr>
      </w:pPr>
      <w:r>
        <w:rPr>
          <w:rFonts w:eastAsia="方正仿宋_GBK"/>
          <w:sz w:val="28"/>
          <w:szCs w:val="28"/>
        </w:rPr>
        <w:t>7.“信用中国”（www.creditchina.gov.cn）信用报告</w:t>
      </w:r>
      <w:r>
        <w:rPr>
          <w:rFonts w:eastAsia="方正仿宋_GBK" w:hint="eastAsia"/>
          <w:sz w:val="28"/>
          <w:szCs w:val="28"/>
        </w:rPr>
        <w:t>及</w:t>
      </w:r>
      <w:r>
        <w:rPr>
          <w:rFonts w:eastAsia="方正仿宋_GBK"/>
          <w:sz w:val="28"/>
          <w:szCs w:val="28"/>
        </w:rPr>
        <w:t>中国政府采购网（www.ccgp.gov.cn）政府采购严重违法失信行为信息记录截图</w:t>
      </w:r>
      <w:r>
        <w:rPr>
          <w:rFonts w:ascii="方正仿宋_GBK" w:eastAsia="方正仿宋_GBK" w:hint="eastAsia"/>
          <w:sz w:val="28"/>
          <w:szCs w:val="28"/>
        </w:rPr>
        <w:t>（必须提供）</w:t>
      </w:r>
      <w:r>
        <w:rPr>
          <w:rFonts w:eastAsia="方正仿宋_GBK"/>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8.供应商基本情况介绍；</w:t>
      </w:r>
    </w:p>
    <w:p>
      <w:pPr>
        <w:spacing w:line="480" w:lineRule="exact"/>
        <w:ind w:leftChars="-1" w:left="-2" w:firstLineChars="221" w:firstLine="619"/>
        <w:rPr>
          <w:rFonts w:eastAsia="方正仿宋_GBK"/>
          <w:sz w:val="28"/>
          <w:szCs w:val="28"/>
        </w:rPr>
      </w:pPr>
      <w:r>
        <w:rPr>
          <w:rFonts w:eastAsia="方正仿宋_GBK"/>
          <w:sz w:val="28"/>
          <w:szCs w:val="28"/>
        </w:rPr>
        <w:t>9.拟派的本项目负责人简历和技术人员表；</w:t>
      </w:r>
    </w:p>
    <w:p>
      <w:pPr>
        <w:spacing w:line="480" w:lineRule="exact"/>
        <w:ind w:leftChars="-1" w:left="-2" w:firstLineChars="221" w:firstLine="619"/>
        <w:rPr>
          <w:rFonts w:eastAsia="方正仿宋_GBK"/>
          <w:sz w:val="28"/>
          <w:szCs w:val="28"/>
        </w:rPr>
      </w:pPr>
      <w:r>
        <w:rPr>
          <w:rFonts w:eastAsia="方正仿宋_GBK"/>
          <w:sz w:val="28"/>
          <w:szCs w:val="28"/>
        </w:rPr>
        <w:t>10.近三年同类工作相关业绩；</w:t>
      </w:r>
    </w:p>
    <w:p>
      <w:pPr>
        <w:spacing w:line="480" w:lineRule="exact"/>
        <w:ind w:leftChars="-1" w:left="-2" w:firstLineChars="221" w:firstLine="619"/>
        <w:rPr>
          <w:rFonts w:eastAsia="方正仿宋_GBK"/>
          <w:sz w:val="28"/>
          <w:szCs w:val="28"/>
        </w:rPr>
      </w:pPr>
      <w:r>
        <w:rPr>
          <w:rFonts w:eastAsia="方正仿宋_GBK"/>
          <w:sz w:val="28"/>
          <w:szCs w:val="28"/>
        </w:rPr>
        <w:t>11.提供拟出租仓库的内外部图片及位置、面积、摄像头配备等具体数据情况（必须提供）</w:t>
      </w:r>
      <w:r>
        <w:rPr>
          <w:rFonts w:eastAsia="方正仿宋_GBK" w:hint="eastAsia"/>
          <w:sz w:val="28"/>
          <w:szCs w:val="28"/>
        </w:rPr>
        <w:t>；</w:t>
      </w:r>
    </w:p>
    <w:p>
      <w:pPr>
        <w:spacing w:line="480" w:lineRule="exact"/>
        <w:ind w:leftChars="-1" w:left="-2" w:firstLineChars="221" w:firstLine="619"/>
        <w:rPr>
          <w:rFonts w:ascii="方正仿宋_GBK" w:eastAsia="方正仿宋_GBK"/>
          <w:sz w:val="28"/>
          <w:szCs w:val="28"/>
        </w:rPr>
      </w:pPr>
      <w:r>
        <w:rPr>
          <w:rFonts w:eastAsia="方正仿宋_GBK" w:hint="eastAsia"/>
          <w:sz w:val="28"/>
          <w:szCs w:val="28"/>
        </w:rPr>
        <w:t>12.</w:t>
      </w:r>
      <w:r>
        <w:rPr>
          <w:rFonts w:eastAsia="方正仿宋_GBK"/>
          <w:sz w:val="28"/>
          <w:szCs w:val="28"/>
        </w:rPr>
        <w:t>其他证</w:t>
      </w:r>
      <w:r>
        <w:rPr>
          <w:rFonts w:ascii="方正仿宋_GBK" w:eastAsia="方正仿宋_GBK" w:hint="eastAsia"/>
          <w:sz w:val="28"/>
          <w:szCs w:val="28"/>
        </w:rPr>
        <w:t>明文件的复印件（如有请提供）。</w:t>
      </w:r>
    </w:p>
    <w:p>
      <w:pPr>
        <w:spacing w:line="560" w:lineRule="exact"/>
        <w:ind w:leftChars="-1" w:left="-2" w:firstLineChars="200" w:firstLine="560"/>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w:t>
      </w:r>
      <w:r>
        <w:rPr>
          <w:rFonts w:ascii="方正仿宋_GBK" w:eastAsia="方正仿宋_GBK"/>
          <w:sz w:val="28"/>
          <w:szCs w:val="28"/>
        </w:rPr>
        <w:t>复印件</w:t>
      </w:r>
      <w:r>
        <w:rPr>
          <w:rFonts w:ascii="方正仿宋_GBK" w:eastAsia="方正仿宋_GBK" w:hint="eastAsia"/>
          <w:sz w:val="28"/>
          <w:szCs w:val="28"/>
        </w:rPr>
        <w:t>材料须加盖封面章</w:t>
      </w:r>
      <w:r>
        <w:rPr>
          <w:rFonts w:ascii="方正仿宋_GBK" w:eastAsia="方正仿宋_GBK"/>
          <w:sz w:val="28"/>
          <w:szCs w:val="28"/>
        </w:rPr>
        <w:t>和</w:t>
      </w:r>
      <w:r>
        <w:rPr>
          <w:rFonts w:ascii="方正仿宋_GBK" w:eastAsia="方正仿宋_GBK" w:hint="eastAsia"/>
          <w:sz w:val="28"/>
          <w:szCs w:val="28"/>
        </w:rPr>
        <w:t>骑缝章。）</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sz w:val="28"/>
          <w:szCs w:val="28"/>
        </w:rPr>
        <w:t>存在</w:t>
      </w:r>
      <w:r>
        <w:rPr>
          <w:rFonts w:eastAsia="方正仿宋_GBK" w:hint="eastAsia"/>
          <w:sz w:val="28"/>
          <w:szCs w:val="28"/>
        </w:rPr>
        <w:t>下列情形</w:t>
      </w:r>
      <w:r>
        <w:rPr>
          <w:rFonts w:eastAsia="方正仿宋_GBK"/>
          <w:sz w:val="28"/>
          <w:szCs w:val="28"/>
        </w:rPr>
        <w:t>之一</w:t>
      </w:r>
      <w:r>
        <w:rPr>
          <w:rFonts w:eastAsia="方正仿宋_GBK" w:hint="eastAsia"/>
          <w:sz w:val="28"/>
          <w:szCs w:val="28"/>
        </w:rPr>
        <w:t>的，</w:t>
      </w:r>
      <w:r>
        <w:rPr>
          <w:rFonts w:eastAsia="方正仿宋_GBK"/>
          <w:sz w:val="28"/>
          <w:szCs w:val="28"/>
        </w:rPr>
        <w:t>不</w:t>
      </w:r>
      <w:r>
        <w:rPr>
          <w:rFonts w:eastAsia="方正仿宋_GBK" w:hint="eastAsia"/>
          <w:sz w:val="28"/>
          <w:szCs w:val="28"/>
        </w:rPr>
        <w:t>得</w:t>
      </w:r>
      <w:r>
        <w:rPr>
          <w:rFonts w:eastAsia="方正仿宋_GBK"/>
          <w:sz w:val="28"/>
          <w:szCs w:val="28"/>
        </w:rPr>
        <w:t>进入下一步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21" w:firstLine="619"/>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w:t>
      </w:r>
      <w:r>
        <w:rPr>
          <w:rFonts w:eastAsia="方正仿宋_GBK"/>
          <w:sz w:val="28"/>
          <w:szCs w:val="28"/>
        </w:rPr>
        <w:t>写与</w:t>
      </w:r>
      <w:r>
        <w:rPr>
          <w:rFonts w:eastAsia="方正仿宋_GBK" w:hint="eastAsia"/>
          <w:sz w:val="28"/>
          <w:szCs w:val="28"/>
        </w:rPr>
        <w:t>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28" w:firstLine="638"/>
        <w:rPr>
          <w:rFonts w:eastAsia="方正仿宋_GBK"/>
          <w:sz w:val="28"/>
          <w:szCs w:val="28"/>
        </w:rPr>
      </w:pPr>
      <w:r>
        <w:rPr>
          <w:rFonts w:eastAsia="方正仿宋_GBK" w:hint="eastAsia"/>
          <w:sz w:val="28"/>
          <w:szCs w:val="28"/>
        </w:rPr>
        <w:t>通过符合性审查的供应商</w:t>
      </w:r>
      <w:r>
        <w:rPr>
          <w:rFonts w:eastAsia="方正仿宋_GBK"/>
          <w:sz w:val="28"/>
          <w:szCs w:val="28"/>
        </w:rPr>
        <w:t>达到2家或以上</w:t>
      </w:r>
      <w:r>
        <w:rPr>
          <w:rFonts w:eastAsia="方正仿宋_GBK" w:hint="eastAsia"/>
          <w:sz w:val="28"/>
          <w:szCs w:val="28"/>
        </w:rPr>
        <w:t>，</w:t>
      </w:r>
      <w:r>
        <w:rPr>
          <w:rFonts w:eastAsia="方正仿宋_GBK"/>
          <w:sz w:val="28"/>
          <w:szCs w:val="28"/>
        </w:rPr>
        <w:t>即</w:t>
      </w:r>
      <w:r>
        <w:rPr>
          <w:rFonts w:eastAsia="方正仿宋_GBK" w:hint="eastAsia"/>
          <w:sz w:val="28"/>
          <w:szCs w:val="28"/>
        </w:rPr>
        <w:t>可继续评审。</w:t>
      </w:r>
    </w:p>
    <w:p>
      <w:pPr>
        <w:spacing w:line="480" w:lineRule="exact"/>
        <w:ind w:firstLineChars="228" w:firstLine="638"/>
        <w:rPr>
          <w:rFonts w:ascii="方正黑体_GBK" w:eastAsia="方正黑体_GBK"/>
          <w:strike/>
          <w:dstrike w:val="0"/>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属于报价无效情形的，不予澄清。</w:t>
      </w:r>
    </w:p>
    <w:p>
      <w:pPr>
        <w:snapToGrid/>
        <w:spacing w:line="480" w:lineRule="exact"/>
        <w:ind w:firstLineChars="228" w:firstLine="638"/>
        <w:jc w:val="left"/>
        <w:rPr>
          <w:rFonts w:ascii="Times New Roman" w:eastAsia="方正仿宋_GBK" w:cs="Times New Roman" w:hAnsi="Times New Roman" w:hint="eastAsia"/>
          <w:b w:val="0"/>
          <w:sz w:val="28"/>
          <w:szCs w:val="28"/>
        </w:rPr>
      </w:pPr>
      <w:r>
        <w:rPr>
          <w:rFonts w:ascii="Times New Roman" w:eastAsia="方正仿宋_GBK" w:cs="Times New Roman" w:hAnsi="Times New Roman" w:hint="eastAsia"/>
          <w:b w:val="0"/>
          <w:sz w:val="28"/>
          <w:szCs w:val="28"/>
        </w:rPr>
        <w:t>（一）评审方法</w:t>
      </w:r>
    </w:p>
    <w:p>
      <w:pPr>
        <w:snapToGrid/>
        <w:spacing w:line="480" w:lineRule="exact"/>
        <w:ind w:firstLineChars="228" w:firstLine="638"/>
        <w:jc w:val="left"/>
        <w:rPr>
          <w:rFonts w:ascii="Times New Roman" w:eastAsia="方正仿宋_GBK" w:cs="Times New Roman" w:hAnsi="Times New Roman" w:hint="eastAsia"/>
          <w:bCs w:val="0"/>
          <w:sz w:val="28"/>
          <w:szCs w:val="28"/>
        </w:rPr>
      </w:pPr>
      <w:r>
        <w:rPr>
          <w:rFonts w:ascii="Times New Roman" w:eastAsia="方正仿宋_GBK" w:cs="Times New Roman" w:hAnsi="Times New Roman" w:hint="eastAsia"/>
          <w:bCs w:val="0"/>
          <w:sz w:val="28"/>
          <w:szCs w:val="28"/>
        </w:rPr>
        <w:t>1.对进入详评的，采用百分制综合评分法。</w:t>
      </w:r>
    </w:p>
    <w:p>
      <w:pPr>
        <w:snapToGrid/>
        <w:spacing w:line="480" w:lineRule="exact"/>
        <w:ind w:firstLineChars="228" w:firstLine="638"/>
        <w:jc w:val="left"/>
        <w:rPr>
          <w:rFonts w:ascii="Times New Roman" w:eastAsia="方正仿宋_GBK" w:cs="Times New Roman" w:hAnsi="Times New Roman" w:hint="eastAsia"/>
          <w:bCs w:val="0"/>
          <w:sz w:val="28"/>
          <w:szCs w:val="28"/>
        </w:rPr>
      </w:pPr>
      <w:r>
        <w:rPr>
          <w:rFonts w:ascii="Times New Roman" w:eastAsia="方正仿宋_GBK" w:cs="Times New Roman" w:hAnsi="Times New Roman" w:hint="eastAsia"/>
          <w:bCs w:val="0"/>
          <w:sz w:val="28"/>
          <w:szCs w:val="28"/>
        </w:rPr>
        <w:t>2.计分办法（按四舍五入取至小数点后两位）。</w:t>
      </w:r>
    </w:p>
    <w:p>
      <w:pPr>
        <w:spacing w:line="480" w:lineRule="exact"/>
        <w:ind w:firstLineChars="228" w:firstLine="638"/>
        <w:jc w:val="left"/>
        <w:rPr>
          <w:rFonts w:ascii="宋体" w:cs="Arial" w:hint="eastAsia"/>
          <w:b/>
          <w:sz w:val="24"/>
          <w:szCs w:val="24"/>
        </w:rPr>
      </w:pPr>
      <w:r>
        <w:rPr>
          <w:rFonts w:ascii="Times New Roman" w:eastAsia="方正仿宋_GBK" w:cs="Times New Roman" w:hAnsi="Times New Roman" w:hint="eastAsia"/>
          <w:b w:val="0"/>
          <w:sz w:val="28"/>
          <w:szCs w:val="28"/>
        </w:rPr>
        <w:t>（</w:t>
      </w:r>
      <w:r>
        <w:rPr>
          <w:rFonts w:ascii="Times New Roman" w:eastAsia="方正仿宋_GBK" w:cs="Times New Roman" w:hAnsi="Times New Roman" w:hint="eastAsia"/>
          <w:b w:val="0"/>
          <w:sz w:val="28"/>
          <w:szCs w:val="28"/>
          <w:lang w:eastAsia="zh-CN"/>
        </w:rPr>
        <w:t>二</w:t>
      </w:r>
      <w:r>
        <w:rPr>
          <w:rFonts w:ascii="Times New Roman" w:eastAsia="方正仿宋_GBK" w:cs="Times New Roman" w:hAnsi="Times New Roman" w:hint="eastAsia"/>
          <w:b w:val="0"/>
          <w:sz w:val="28"/>
          <w:szCs w:val="28"/>
        </w:rPr>
        <w:t>）评分标准</w:t>
      </w:r>
    </w:p>
    <w:tbl>
      <w:tblPr>
        <w:jc w:val="cente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780"/>
        <w:gridCol w:w="1138"/>
        <w:gridCol w:w="1473"/>
        <w:gridCol w:w="5331"/>
      </w:tblGrid>
      <w:tr>
        <w:trPr>
          <w:trHeight w:val="608"/>
        </w:trPr>
        <w:tc>
          <w:tcPr>
            <w:tcW w:w="780" w:type="dxa"/>
            <w:vAlign w:val="center"/>
          </w:tcPr>
          <w:p>
            <w:pPr>
              <w:jc w:val="center"/>
              <w:rPr>
                <w:rFonts w:ascii="宋体" w:cs="Arial" w:hint="eastAsia"/>
                <w:b/>
                <w:sz w:val="24"/>
                <w:szCs w:val="24"/>
              </w:rPr>
            </w:pPr>
            <w:r>
              <w:rPr>
                <w:rFonts w:ascii="宋体" w:cs="Arial" w:hint="eastAsia"/>
                <w:b/>
                <w:sz w:val="24"/>
                <w:szCs w:val="24"/>
              </w:rPr>
              <w:t>序号</w:t>
            </w:r>
          </w:p>
        </w:tc>
        <w:tc>
          <w:tcPr>
            <w:tcW w:w="1138" w:type="dxa"/>
            <w:vAlign w:val="center"/>
          </w:tcPr>
          <w:p>
            <w:pPr>
              <w:jc w:val="center"/>
              <w:rPr>
                <w:rFonts w:ascii="宋体" w:cs="Arial" w:hint="eastAsia"/>
                <w:b/>
                <w:sz w:val="24"/>
                <w:szCs w:val="24"/>
              </w:rPr>
            </w:pPr>
            <w:r>
              <w:rPr>
                <w:rFonts w:ascii="宋体" w:cs="Arial" w:hint="eastAsia"/>
                <w:b/>
                <w:sz w:val="24"/>
                <w:szCs w:val="24"/>
              </w:rPr>
              <w:t>评分项</w:t>
            </w:r>
          </w:p>
        </w:tc>
        <w:tc>
          <w:tcPr>
            <w:tcW w:w="1473" w:type="dxa"/>
            <w:vAlign w:val="center"/>
          </w:tcPr>
          <w:p>
            <w:pPr>
              <w:jc w:val="center"/>
              <w:rPr>
                <w:rFonts w:ascii="宋体" w:cs="Arial" w:hint="eastAsia"/>
                <w:b/>
                <w:sz w:val="24"/>
                <w:szCs w:val="24"/>
              </w:rPr>
            </w:pPr>
            <w:r>
              <w:rPr>
                <w:rFonts w:ascii="宋体" w:cs="Arial" w:hint="eastAsia"/>
                <w:b/>
                <w:sz w:val="24"/>
                <w:szCs w:val="24"/>
              </w:rPr>
              <w:t>评审内容</w:t>
            </w:r>
          </w:p>
        </w:tc>
        <w:tc>
          <w:tcPr>
            <w:tcW w:w="5331" w:type="dxa"/>
            <w:vAlign w:val="center"/>
          </w:tcPr>
          <w:p>
            <w:pPr>
              <w:jc w:val="both"/>
              <w:rPr>
                <w:rFonts w:ascii="宋体" w:cs="Arial" w:hint="eastAsia"/>
                <w:b/>
                <w:sz w:val="24"/>
                <w:szCs w:val="24"/>
              </w:rPr>
            </w:pPr>
            <w:r>
              <w:rPr>
                <w:rFonts w:ascii="宋体" w:cs="Arial" w:hint="eastAsia"/>
                <w:b/>
                <w:sz w:val="24"/>
                <w:szCs w:val="24"/>
              </w:rPr>
              <w:t>评分标准</w:t>
            </w:r>
          </w:p>
        </w:tc>
      </w:tr>
      <w:tr>
        <w:trPr>
          <w:trHeight w:val="984"/>
        </w:trPr>
        <w:tc>
          <w:tcPr>
            <w:tcW w:w="780" w:type="dxa"/>
            <w:vAlign w:val="center"/>
          </w:tcPr>
          <w:p>
            <w:pPr>
              <w:spacing w:line="400" w:lineRule="exact"/>
              <w:jc w:val="center"/>
              <w:rPr>
                <w:rFonts w:ascii="宋体" w:cs="Arial"/>
                <w:sz w:val="24"/>
                <w:szCs w:val="24"/>
              </w:rPr>
            </w:pPr>
            <w:r>
              <w:rPr>
                <w:rFonts w:ascii="宋体" w:cs="Arial" w:hint="eastAsia"/>
                <w:sz w:val="24"/>
                <w:szCs w:val="24"/>
              </w:rPr>
              <w:t>1</w:t>
            </w:r>
          </w:p>
        </w:tc>
        <w:tc>
          <w:tcPr>
            <w:tcW w:w="1138" w:type="dxa"/>
            <w:tcBorders>
              <w:top w:val="single" w:sz="4" w:space="0" w:color="000000"/>
              <w:left w:val="single" w:sz="4" w:space="0" w:color="000000"/>
              <w:right w:val="single" w:sz="4" w:space="0" w:color="000000"/>
            </w:tcBorders>
            <w:vAlign w:val="center"/>
          </w:tcPr>
          <w:p>
            <w:pPr>
              <w:jc w:val="center"/>
              <w:rPr>
                <w:rFonts w:ascii="宋体" w:cs="Arial" w:hint="eastAsia"/>
                <w:b/>
                <w:sz w:val="24"/>
                <w:szCs w:val="24"/>
              </w:rPr>
            </w:pPr>
            <w:r>
              <w:rPr>
                <w:rFonts w:ascii="宋体" w:cs="Arial" w:hint="eastAsia"/>
                <w:b/>
                <w:sz w:val="24"/>
                <w:szCs w:val="24"/>
              </w:rPr>
              <w:t>价格分</w:t>
            </w:r>
          </w:p>
          <w:p>
            <w:pPr>
              <w:jc w:val="center"/>
              <w:rPr>
                <w:rFonts w:ascii="宋体" w:cs="Arial" w:hint="eastAsia"/>
                <w:b/>
                <w:sz w:val="24"/>
                <w:szCs w:val="24"/>
              </w:rPr>
            </w:pPr>
            <w:r>
              <w:rPr>
                <w:rFonts w:ascii="宋体" w:cs="Arial" w:hint="eastAsia"/>
                <w:b/>
                <w:sz w:val="24"/>
                <w:szCs w:val="24"/>
              </w:rPr>
              <w:t>（30分）</w:t>
            </w:r>
          </w:p>
        </w:tc>
        <w:tc>
          <w:tcPr>
            <w:tcW w:w="1473" w:type="dxa"/>
            <w:tcBorders>
              <w:top w:val="single" w:sz="4" w:space="0" w:color="000000"/>
              <w:left w:val="single" w:sz="4" w:space="0" w:color="000000"/>
              <w:right w:val="single" w:sz="4" w:space="0" w:color="000000"/>
            </w:tcBorders>
            <w:vAlign w:val="center"/>
          </w:tcPr>
          <w:p>
            <w:pPr>
              <w:jc w:val="center"/>
              <w:rPr>
                <w:rFonts w:ascii="宋体" w:cs="Arial" w:hint="eastAsia"/>
                <w:b/>
                <w:sz w:val="24"/>
                <w:szCs w:val="24"/>
              </w:rPr>
            </w:pPr>
            <w:r>
              <w:rPr>
                <w:rFonts w:ascii="宋体" w:cs="Arial" w:hint="eastAsia"/>
                <w:b/>
                <w:sz w:val="24"/>
                <w:szCs w:val="24"/>
              </w:rPr>
              <w:t>价格评审</w:t>
            </w:r>
          </w:p>
          <w:p>
            <w:pPr>
              <w:jc w:val="center"/>
              <w:rPr>
                <w:rFonts w:ascii="宋体" w:cs="Arial" w:hint="eastAsia"/>
                <w:b/>
                <w:sz w:val="24"/>
                <w:szCs w:val="24"/>
              </w:rPr>
            </w:pPr>
            <w:r>
              <w:rPr>
                <w:rFonts w:ascii="宋体" w:cs="Arial" w:hint="eastAsia"/>
                <w:b/>
                <w:sz w:val="24"/>
                <w:szCs w:val="24"/>
              </w:rPr>
              <w:t>（30）</w:t>
            </w:r>
          </w:p>
        </w:tc>
        <w:tc>
          <w:tcPr>
            <w:tcW w:w="5331" w:type="dxa"/>
            <w:vAlign w:val="center"/>
          </w:tcPr>
          <w:p>
            <w:pPr>
              <w:jc w:val="both"/>
              <w:rPr>
                <w:rFonts w:ascii="宋体" w:cs="Arial" w:hint="eastAsia"/>
                <w:b/>
                <w:sz w:val="24"/>
                <w:szCs w:val="24"/>
              </w:rPr>
            </w:pPr>
            <w:r>
              <w:rPr>
                <w:rFonts w:ascii="宋体" w:cs="Arial" w:hint="eastAsia"/>
                <w:b/>
                <w:sz w:val="24"/>
                <w:szCs w:val="24"/>
              </w:rPr>
              <w:t>满足文件要求且价格最低的最终报价为评审基准价，得30分。</w:t>
            </w:r>
          </w:p>
          <w:p>
            <w:pPr>
              <w:jc w:val="both"/>
              <w:rPr>
                <w:rFonts w:ascii="宋体" w:cs="Arial" w:hint="eastAsia"/>
                <w:b/>
                <w:sz w:val="24"/>
                <w:szCs w:val="24"/>
              </w:rPr>
            </w:pPr>
            <w:r>
              <w:rPr>
                <w:rFonts w:ascii="宋体" w:cs="Arial" w:hint="eastAsia"/>
                <w:b/>
                <w:sz w:val="24"/>
                <w:szCs w:val="24"/>
              </w:rPr>
              <w:t>其他供应商的价格分统一按照下列公式计算：</w:t>
            </w:r>
          </w:p>
          <w:p>
            <w:pPr>
              <w:jc w:val="both"/>
              <w:rPr>
                <w:rFonts w:ascii="宋体" w:cs="Arial" w:hint="eastAsia"/>
                <w:b/>
                <w:sz w:val="24"/>
                <w:szCs w:val="24"/>
              </w:rPr>
            </w:pPr>
            <w:r>
              <w:rPr>
                <w:rFonts w:ascii="宋体" w:cs="Arial" w:hint="eastAsia"/>
                <w:b/>
                <w:sz w:val="24"/>
                <w:szCs w:val="24"/>
              </w:rPr>
              <w:t>报价得分= (评审基准价/最终报价)×30</w:t>
            </w:r>
          </w:p>
        </w:tc>
      </w:tr>
      <w:tr>
        <w:trPr>
          <w:trHeight w:val="1278"/>
        </w:trPr>
        <w:tc>
          <w:tcPr>
            <w:tcW w:w="780" w:type="dxa"/>
            <w:vMerge w:val="restart"/>
            <w:vAlign w:val="center"/>
          </w:tcPr>
          <w:p>
            <w:pPr>
              <w:spacing w:line="400" w:lineRule="exact"/>
              <w:jc w:val="center"/>
              <w:rPr>
                <w:rFonts w:ascii="宋体" w:cs="Arial"/>
                <w:sz w:val="24"/>
                <w:szCs w:val="24"/>
              </w:rPr>
            </w:pPr>
            <w:r>
              <w:rPr>
                <w:rFonts w:ascii="宋体" w:cs="Arial" w:hint="eastAsia"/>
                <w:sz w:val="24"/>
                <w:szCs w:val="24"/>
              </w:rPr>
              <w:t>2</w:t>
            </w:r>
          </w:p>
        </w:tc>
        <w:tc>
          <w:tcPr>
            <w:tcW w:w="1138" w:type="dxa"/>
            <w:vMerge w:val="restart"/>
            <w:tcBorders>
              <w:top w:val="single" w:sz="4" w:space="0" w:color="000000"/>
              <w:left w:val="single" w:sz="4" w:space="0" w:color="000000"/>
              <w:right w:val="single" w:sz="4" w:space="0" w:color="000000"/>
            </w:tcBorders>
            <w:vAlign w:val="center"/>
          </w:tcPr>
          <w:p>
            <w:pPr>
              <w:jc w:val="center"/>
              <w:rPr>
                <w:rFonts w:ascii="宋体" w:cs="Arial" w:hint="eastAsia"/>
                <w:b/>
                <w:sz w:val="24"/>
                <w:szCs w:val="24"/>
              </w:rPr>
            </w:pPr>
            <w:r>
              <w:rPr>
                <w:rFonts w:ascii="宋体" w:cs="Arial" w:hint="eastAsia"/>
                <w:b/>
                <w:sz w:val="24"/>
                <w:szCs w:val="24"/>
              </w:rPr>
              <w:t>服务与技术条件（</w:t>
            </w:r>
            <w:r>
              <w:rPr>
                <w:rFonts w:ascii="宋体" w:cs="Arial" w:hint="eastAsia"/>
                <w:b/>
                <w:sz w:val="24"/>
                <w:szCs w:val="24"/>
                <w:lang w:val="en-US" w:eastAsia="zh-CN"/>
              </w:rPr>
              <w:t>50</w:t>
            </w:r>
            <w:r>
              <w:rPr>
                <w:rFonts w:ascii="宋体" w:cs="Arial" w:hint="eastAsia"/>
                <w:b/>
                <w:sz w:val="24"/>
                <w:szCs w:val="24"/>
              </w:rPr>
              <w:t>分）</w:t>
            </w:r>
          </w:p>
        </w:tc>
        <w:tc>
          <w:tcPr>
            <w:tcW w:w="1473" w:type="dxa"/>
            <w:tcBorders>
              <w:bottom w:val="single" w:sz="4" w:space="0" w:color="auto"/>
            </w:tcBorders>
            <w:vAlign w:val="center"/>
          </w:tcPr>
          <w:p>
            <w:pPr>
              <w:jc w:val="center"/>
              <w:rPr>
                <w:rFonts w:ascii="宋体" w:cs="Arial" w:hint="eastAsia"/>
                <w:b/>
                <w:sz w:val="24"/>
                <w:szCs w:val="24"/>
              </w:rPr>
            </w:pPr>
            <w:r>
              <w:rPr>
                <w:rFonts w:ascii="宋体" w:cs="Arial" w:hint="eastAsia"/>
                <w:b/>
                <w:sz w:val="24"/>
                <w:szCs w:val="24"/>
              </w:rPr>
              <w:t>冷库基本条件（满分</w:t>
            </w:r>
            <w:r>
              <w:rPr>
                <w:rFonts w:ascii="宋体" w:cs="Arial" w:hint="eastAsia"/>
                <w:b/>
                <w:sz w:val="24"/>
                <w:szCs w:val="24"/>
                <w:lang w:val="en-US" w:eastAsia="zh-CN"/>
              </w:rPr>
              <w:t>15</w:t>
            </w:r>
            <w:r>
              <w:rPr>
                <w:rFonts w:ascii="宋体" w:cs="Arial" w:hint="eastAsia"/>
                <w:b/>
                <w:sz w:val="24"/>
                <w:szCs w:val="24"/>
              </w:rPr>
              <w:t>分）</w:t>
            </w:r>
          </w:p>
        </w:tc>
        <w:tc>
          <w:tcPr>
            <w:tcW w:w="5331" w:type="dxa"/>
            <w:tcBorders>
              <w:bottom w:val="single" w:sz="4" w:space="0" w:color="auto"/>
            </w:tcBorders>
            <w:vAlign w:val="center"/>
          </w:tcPr>
          <w:p>
            <w:pPr>
              <w:jc w:val="both"/>
              <w:rPr>
                <w:rFonts w:ascii="宋体" w:cs="Arial" w:hint="eastAsia"/>
                <w:b/>
                <w:sz w:val="24"/>
                <w:szCs w:val="24"/>
              </w:rPr>
            </w:pPr>
            <w:r>
              <w:rPr>
                <w:rFonts w:ascii="宋体" w:cs="Arial" w:hint="eastAsia"/>
                <w:b/>
                <w:sz w:val="24"/>
                <w:szCs w:val="24"/>
              </w:rPr>
              <w:t xml:space="preserve">- </w:t>
            </w:r>
            <w:r>
              <w:rPr>
                <w:rFonts w:ascii="宋体" w:cs="Arial"/>
                <w:b/>
                <w:sz w:val="24"/>
                <w:szCs w:val="24"/>
              </w:rPr>
              <w:t>所在地理</w:t>
            </w:r>
            <w:r>
              <w:rPr>
                <w:rFonts w:ascii="宋体" w:cs="Arial" w:hint="eastAsia"/>
                <w:b/>
                <w:sz w:val="24"/>
                <w:szCs w:val="24"/>
              </w:rPr>
              <w:t>位置</w:t>
            </w:r>
            <w:r>
              <w:rPr>
                <w:rFonts w:ascii="宋体" w:cs="Arial"/>
                <w:b/>
                <w:sz w:val="24"/>
                <w:szCs w:val="24"/>
              </w:rPr>
              <w:t>及</w:t>
            </w:r>
            <w:r>
              <w:rPr>
                <w:rFonts w:ascii="宋体" w:cs="Arial" w:hint="eastAsia"/>
                <w:b/>
                <w:sz w:val="24"/>
                <w:szCs w:val="24"/>
                <w:lang w:val="en-US" w:eastAsia="zh-CN"/>
              </w:rPr>
              <w:t>库房、</w:t>
            </w:r>
            <w:r>
              <w:rPr>
                <w:rFonts w:ascii="宋体" w:cs="Arial" w:hint="eastAsia"/>
                <w:b/>
                <w:sz w:val="24"/>
                <w:szCs w:val="24"/>
              </w:rPr>
              <w:t>面积、层高、承重完全满足采购需求，交通便利</w:t>
            </w:r>
            <w:r>
              <w:rPr>
                <w:rFonts w:ascii="宋体" w:cs="Arial"/>
                <w:b/>
                <w:sz w:val="24"/>
                <w:szCs w:val="24"/>
              </w:rPr>
              <w:t>（仓库地点距离贵港市中心城区200公里以内，贵港市本地优先）</w:t>
            </w:r>
            <w:r>
              <w:rPr>
                <w:rFonts w:ascii="宋体" w:cs="Arial" w:hint="eastAsia"/>
                <w:b/>
                <w:sz w:val="24"/>
                <w:szCs w:val="24"/>
              </w:rPr>
              <w:t>：</w:t>
            </w:r>
            <w:r>
              <w:rPr>
                <w:rFonts w:ascii="宋体" w:cs="Arial" w:hint="eastAsia"/>
                <w:b/>
                <w:sz w:val="24"/>
                <w:szCs w:val="24"/>
                <w:lang w:val="en-US" w:eastAsia="zh-CN"/>
              </w:rPr>
              <w:t>11</w:t>
            </w:r>
            <w:r>
              <w:rPr>
                <w:rFonts w:ascii="宋体" w:cs="Arial" w:hint="eastAsia"/>
                <w:b/>
                <w:sz w:val="24"/>
                <w:szCs w:val="24"/>
              </w:rPr>
              <w:t>–1</w:t>
            </w:r>
            <w:r>
              <w:rPr>
                <w:rFonts w:ascii="宋体" w:cs="Arial" w:hint="eastAsia"/>
                <w:b/>
                <w:sz w:val="24"/>
                <w:szCs w:val="24"/>
                <w:lang w:val="en-US" w:eastAsia="zh-CN"/>
              </w:rPr>
              <w:t>5</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基本满足需求，无明显缺陷：</w:t>
            </w:r>
            <w:r>
              <w:rPr>
                <w:rFonts w:ascii="宋体" w:cs="Arial" w:hint="eastAsia"/>
                <w:b/>
                <w:sz w:val="24"/>
                <w:szCs w:val="24"/>
                <w:lang w:val="en-US" w:eastAsia="zh-CN"/>
              </w:rPr>
              <w:t>6</w:t>
            </w:r>
            <w:r>
              <w:rPr>
                <w:rFonts w:ascii="宋体" w:cs="Arial" w:hint="eastAsia"/>
                <w:b/>
                <w:sz w:val="24"/>
                <w:szCs w:val="24"/>
              </w:rPr>
              <w:t>–</w:t>
            </w:r>
            <w:r>
              <w:rPr>
                <w:rFonts w:ascii="宋体" w:cs="Arial" w:hint="eastAsia"/>
                <w:b/>
                <w:sz w:val="24"/>
                <w:szCs w:val="24"/>
                <w:lang w:val="en-US" w:eastAsia="zh-CN"/>
              </w:rPr>
              <w:t>10</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条件一般，存在不足：0–</w:t>
            </w:r>
            <w:r>
              <w:rPr>
                <w:rFonts w:ascii="宋体" w:cs="Arial" w:hint="eastAsia"/>
                <w:b/>
                <w:sz w:val="24"/>
                <w:szCs w:val="24"/>
                <w:lang w:val="en-US" w:eastAsia="zh-CN"/>
              </w:rPr>
              <w:t>5</w:t>
            </w:r>
            <w:r>
              <w:rPr>
                <w:rFonts w:ascii="宋体" w:cs="Arial" w:hint="eastAsia"/>
                <w:b/>
                <w:sz w:val="24"/>
                <w:szCs w:val="24"/>
              </w:rPr>
              <w:t>分</w:t>
            </w:r>
          </w:p>
        </w:tc>
      </w:tr>
      <w:tr>
        <w:trPr>
          <w:trHeight w:val="1411"/>
        </w:trPr>
        <w:tc>
          <w:tcPr>
            <w:tcW w:w="780" w:type="dxa"/>
            <w:vMerge/>
            <w:vAlign w:val="center"/>
          </w:tcPr>
          <w:p/>
        </w:tc>
        <w:tc>
          <w:tcPr>
            <w:tcW w:w="1138" w:type="dxa"/>
            <w:vMerge/>
            <w:tcBorders>
              <w:top w:val="single" w:sz="4" w:space="0" w:color="000000"/>
              <w:left w:val="single" w:sz="4" w:space="0" w:color="000000"/>
              <w:right w:val="single" w:sz="4" w:space="0" w:color="000000"/>
            </w:tcBorders>
            <w:vAlign w:val="center"/>
          </w:tcPr>
          <w:p/>
        </w:tc>
        <w:tc>
          <w:tcPr>
            <w:tcW w:w="1473" w:type="dxa"/>
            <w:tcBorders>
              <w:top w:val="single" w:sz="4" w:space="0" w:color="auto"/>
              <w:bottom w:val="single" w:sz="4" w:space="0" w:color="auto"/>
            </w:tcBorders>
            <w:vAlign w:val="center"/>
          </w:tcPr>
          <w:p>
            <w:pPr>
              <w:jc w:val="center"/>
              <w:rPr>
                <w:rFonts w:ascii="宋体" w:cs="Arial" w:hint="eastAsia"/>
                <w:b/>
                <w:sz w:val="24"/>
                <w:szCs w:val="24"/>
              </w:rPr>
            </w:pPr>
            <w:r>
              <w:rPr>
                <w:rFonts w:ascii="宋体" w:cs="Arial" w:hint="eastAsia"/>
                <w:b/>
                <w:sz w:val="24"/>
                <w:szCs w:val="24"/>
              </w:rPr>
              <w:t>温度控制与制冷系统</w:t>
            </w:r>
            <w:r>
              <w:rPr>
                <w:rFonts w:ascii="宋体" w:cs="Arial" w:hint="eastAsia"/>
                <w:b/>
                <w:sz w:val="24"/>
                <w:szCs w:val="24"/>
                <w:lang w:eastAsia="zh-CN"/>
              </w:rPr>
              <w:t>分</w:t>
            </w:r>
            <w:r>
              <w:rPr>
                <w:rFonts w:ascii="宋体" w:cs="Arial" w:hint="eastAsia"/>
                <w:b/>
                <w:sz w:val="24"/>
                <w:szCs w:val="24"/>
              </w:rPr>
              <w:t>（满分1</w:t>
            </w:r>
            <w:r>
              <w:rPr>
                <w:rFonts w:ascii="宋体" w:cs="Arial" w:hint="eastAsia"/>
                <w:b/>
                <w:sz w:val="24"/>
                <w:szCs w:val="24"/>
                <w:lang w:val="en-US" w:eastAsia="zh-CN"/>
              </w:rPr>
              <w:t>2</w:t>
            </w:r>
            <w:r>
              <w:rPr>
                <w:rFonts w:ascii="宋体" w:cs="Arial" w:hint="eastAsia"/>
                <w:b/>
                <w:sz w:val="24"/>
                <w:szCs w:val="24"/>
              </w:rPr>
              <w:t>分）</w:t>
            </w:r>
          </w:p>
        </w:tc>
        <w:tc>
          <w:tcPr>
            <w:tcW w:w="5331" w:type="dxa"/>
            <w:tcBorders>
              <w:top w:val="single" w:sz="4" w:space="0" w:color="auto"/>
              <w:bottom w:val="single" w:sz="4" w:space="0" w:color="auto"/>
            </w:tcBorders>
            <w:vAlign w:val="center"/>
          </w:tcPr>
          <w:p>
            <w:pPr>
              <w:jc w:val="both"/>
              <w:rPr>
                <w:rFonts w:ascii="宋体" w:cs="Arial" w:hint="eastAsia"/>
                <w:b/>
                <w:sz w:val="24"/>
                <w:szCs w:val="24"/>
              </w:rPr>
            </w:pPr>
            <w:r>
              <w:rPr>
                <w:rFonts w:ascii="宋体" w:cs="Arial" w:hint="eastAsia"/>
                <w:b/>
                <w:sz w:val="24"/>
                <w:szCs w:val="24"/>
              </w:rPr>
              <w:t>- 温度稳定达标、自动控温、备用机组/应急保障完善：</w:t>
            </w:r>
            <w:r>
              <w:rPr>
                <w:rFonts w:ascii="宋体" w:cs="Arial" w:hint="eastAsia"/>
                <w:b/>
                <w:sz w:val="24"/>
                <w:szCs w:val="24"/>
                <w:lang w:val="en-US" w:eastAsia="zh-CN"/>
              </w:rPr>
              <w:t>9</w:t>
            </w:r>
            <w:r>
              <w:rPr>
                <w:rFonts w:ascii="宋体" w:cs="Arial" w:hint="eastAsia"/>
                <w:b/>
                <w:sz w:val="24"/>
                <w:szCs w:val="24"/>
              </w:rPr>
              <w:t>–1</w:t>
            </w:r>
            <w:r>
              <w:rPr>
                <w:rFonts w:ascii="宋体" w:cs="Arial" w:hint="eastAsia"/>
                <w:b/>
                <w:sz w:val="24"/>
                <w:szCs w:val="24"/>
                <w:lang w:val="en-US" w:eastAsia="zh-CN"/>
              </w:rPr>
              <w:t>2</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满足使用要求，温控正常：</w:t>
            </w:r>
            <w:r>
              <w:rPr>
                <w:rFonts w:ascii="宋体" w:cs="Arial" w:hint="eastAsia"/>
                <w:b/>
                <w:sz w:val="24"/>
                <w:szCs w:val="24"/>
                <w:lang w:val="en-US" w:eastAsia="zh-CN"/>
              </w:rPr>
              <w:t>5</w:t>
            </w:r>
            <w:r>
              <w:rPr>
                <w:rFonts w:ascii="宋体" w:cs="Arial" w:hint="eastAsia"/>
                <w:b/>
                <w:sz w:val="24"/>
                <w:szCs w:val="24"/>
              </w:rPr>
              <w:t>–</w:t>
            </w:r>
            <w:r>
              <w:rPr>
                <w:rFonts w:ascii="宋体" w:cs="Arial" w:hint="eastAsia"/>
                <w:b/>
                <w:sz w:val="24"/>
                <w:szCs w:val="24"/>
                <w:lang w:val="en-US" w:eastAsia="zh-CN"/>
              </w:rPr>
              <w:t>8</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温控一般，无应急保障：0–</w:t>
            </w:r>
            <w:r>
              <w:rPr>
                <w:rFonts w:ascii="宋体" w:cs="Arial" w:hint="eastAsia"/>
                <w:b/>
                <w:sz w:val="24"/>
                <w:szCs w:val="24"/>
                <w:lang w:val="en-US" w:eastAsia="zh-CN"/>
              </w:rPr>
              <w:t>4</w:t>
            </w:r>
            <w:r>
              <w:rPr>
                <w:rFonts w:ascii="宋体" w:cs="Arial" w:hint="eastAsia"/>
                <w:b/>
                <w:sz w:val="24"/>
                <w:szCs w:val="24"/>
              </w:rPr>
              <w:t>分</w:t>
            </w:r>
          </w:p>
        </w:tc>
      </w:tr>
      <w:tr>
        <w:trPr>
          <w:trHeight w:val="1040"/>
        </w:trPr>
        <w:tc>
          <w:tcPr>
            <w:tcW w:w="780" w:type="dxa"/>
            <w:vMerge/>
            <w:vAlign w:val="center"/>
          </w:tcPr>
          <w:p/>
        </w:tc>
        <w:tc>
          <w:tcPr>
            <w:tcW w:w="1138" w:type="dxa"/>
            <w:vMerge/>
            <w:tcBorders>
              <w:top w:val="single" w:sz="4" w:space="0" w:color="000000"/>
              <w:left w:val="single" w:sz="4" w:space="0" w:color="000000"/>
              <w:right w:val="single" w:sz="4" w:space="0" w:color="000000"/>
            </w:tcBorders>
            <w:vAlign w:val="center"/>
          </w:tcPr>
          <w:p/>
        </w:tc>
        <w:tc>
          <w:tcPr>
            <w:tcW w:w="1473" w:type="dxa"/>
            <w:tcBorders>
              <w:top w:val="single" w:sz="4" w:space="0" w:color="auto"/>
            </w:tcBorders>
            <w:vAlign w:val="center"/>
          </w:tcPr>
          <w:p>
            <w:pPr>
              <w:jc w:val="center"/>
              <w:rPr>
                <w:rFonts w:ascii="宋体" w:cs="Arial" w:hint="eastAsia"/>
                <w:b/>
                <w:sz w:val="24"/>
                <w:szCs w:val="24"/>
              </w:rPr>
            </w:pPr>
            <w:r>
              <w:rPr>
                <w:rFonts w:ascii="宋体" w:cs="Arial" w:hint="eastAsia"/>
                <w:b/>
                <w:sz w:val="24"/>
                <w:szCs w:val="24"/>
              </w:rPr>
              <w:t>库体安全与消防分（满分1</w:t>
            </w:r>
            <w:r>
              <w:rPr>
                <w:rFonts w:ascii="宋体" w:cs="Arial" w:hint="eastAsia"/>
                <w:b/>
                <w:sz w:val="24"/>
                <w:szCs w:val="24"/>
                <w:lang w:val="en-US" w:eastAsia="zh-CN"/>
              </w:rPr>
              <w:t>0</w:t>
            </w:r>
            <w:r>
              <w:rPr>
                <w:rFonts w:ascii="宋体" w:cs="Arial" w:hint="eastAsia"/>
                <w:b/>
                <w:sz w:val="24"/>
                <w:szCs w:val="24"/>
              </w:rPr>
              <w:t>分）</w:t>
            </w:r>
          </w:p>
        </w:tc>
        <w:tc>
          <w:tcPr>
            <w:tcW w:w="5331" w:type="dxa"/>
            <w:tcBorders>
              <w:top w:val="single" w:sz="4" w:space="0" w:color="auto"/>
            </w:tcBorders>
            <w:vAlign w:val="center"/>
          </w:tcPr>
          <w:p>
            <w:pPr>
              <w:jc w:val="both"/>
              <w:rPr>
                <w:rFonts w:ascii="宋体" w:cs="Arial" w:hint="eastAsia"/>
                <w:b/>
                <w:sz w:val="24"/>
                <w:szCs w:val="24"/>
              </w:rPr>
            </w:pPr>
            <w:r>
              <w:rPr>
                <w:rFonts w:ascii="宋体" w:cs="Arial" w:hint="eastAsia"/>
                <w:b/>
                <w:sz w:val="24"/>
                <w:szCs w:val="24"/>
              </w:rPr>
              <w:t>- 消防、防潮、防水、防鼠、安防监控齐全合规：</w:t>
            </w:r>
            <w:r>
              <w:rPr>
                <w:rFonts w:ascii="宋体" w:cs="Arial" w:hint="eastAsia"/>
                <w:b/>
                <w:sz w:val="24"/>
                <w:szCs w:val="24"/>
                <w:lang w:val="en-US" w:eastAsia="zh-CN"/>
              </w:rPr>
              <w:t>8</w:t>
            </w:r>
            <w:r>
              <w:rPr>
                <w:rFonts w:ascii="宋体" w:cs="Arial" w:hint="eastAsia"/>
                <w:b/>
                <w:sz w:val="24"/>
                <w:szCs w:val="24"/>
              </w:rPr>
              <w:t>–</w:t>
            </w:r>
            <w:r>
              <w:rPr>
                <w:rFonts w:ascii="宋体" w:cs="Arial" w:hint="eastAsia"/>
                <w:b/>
                <w:sz w:val="24"/>
                <w:szCs w:val="24"/>
                <w:lang w:val="en-US" w:eastAsia="zh-CN"/>
              </w:rPr>
              <w:t>10</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基本满足要求：</w:t>
            </w:r>
            <w:r>
              <w:rPr>
                <w:rFonts w:ascii="宋体" w:cs="Arial" w:hint="eastAsia"/>
                <w:b/>
                <w:sz w:val="24"/>
                <w:szCs w:val="24"/>
                <w:lang w:val="en-US" w:eastAsia="zh-CN"/>
              </w:rPr>
              <w:t>4</w:t>
            </w:r>
            <w:r>
              <w:rPr>
                <w:rFonts w:ascii="宋体" w:cs="Arial" w:hint="eastAsia"/>
                <w:b/>
                <w:sz w:val="24"/>
                <w:szCs w:val="24"/>
              </w:rPr>
              <w:t>–</w:t>
            </w:r>
            <w:r>
              <w:rPr>
                <w:rFonts w:ascii="宋体" w:cs="Arial" w:hint="eastAsia"/>
                <w:b/>
                <w:sz w:val="24"/>
                <w:szCs w:val="24"/>
                <w:lang w:val="en-US" w:eastAsia="zh-CN"/>
              </w:rPr>
              <w:t>7</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存在安全隐患：0–</w:t>
            </w:r>
            <w:r>
              <w:rPr>
                <w:rFonts w:ascii="宋体" w:cs="Arial" w:hint="eastAsia"/>
                <w:b/>
                <w:sz w:val="24"/>
                <w:szCs w:val="24"/>
                <w:lang w:val="en-US" w:eastAsia="zh-CN"/>
              </w:rPr>
              <w:t>3</w:t>
            </w:r>
            <w:r>
              <w:rPr>
                <w:rFonts w:ascii="宋体" w:cs="Arial" w:hint="eastAsia"/>
                <w:b/>
                <w:sz w:val="24"/>
                <w:szCs w:val="24"/>
              </w:rPr>
              <w:t>分</w:t>
            </w:r>
          </w:p>
        </w:tc>
      </w:tr>
      <w:tr>
        <w:trPr>
          <w:trHeight w:val="1124"/>
        </w:trPr>
        <w:tc>
          <w:tcPr>
            <w:tcW w:w="780" w:type="dxa"/>
            <w:vMerge/>
            <w:vAlign w:val="center"/>
          </w:tcPr>
          <w:p/>
        </w:tc>
        <w:tc>
          <w:tcPr>
            <w:tcW w:w="1138" w:type="dxa"/>
            <w:vMerge/>
            <w:tcBorders>
              <w:top w:val="single" w:sz="4" w:space="0" w:color="000000"/>
              <w:left w:val="single" w:sz="4" w:space="0" w:color="000000"/>
              <w:right w:val="single" w:sz="4" w:space="0" w:color="000000"/>
            </w:tcBorders>
            <w:vAlign w:val="center"/>
          </w:tcPr>
          <w:p/>
        </w:tc>
        <w:tc>
          <w:tcPr>
            <w:tcW w:w="1473" w:type="dxa"/>
            <w:tcBorders>
              <w:top w:val="single" w:sz="4" w:space="0" w:color="auto"/>
            </w:tcBorders>
            <w:vAlign w:val="center"/>
          </w:tcPr>
          <w:p>
            <w:pPr>
              <w:jc w:val="center"/>
              <w:rPr>
                <w:rFonts w:ascii="宋体" w:cs="Arial" w:hint="eastAsia"/>
                <w:b/>
                <w:sz w:val="24"/>
                <w:szCs w:val="24"/>
              </w:rPr>
            </w:pPr>
            <w:r>
              <w:rPr>
                <w:rFonts w:ascii="宋体" w:cs="Arial" w:hint="eastAsia"/>
                <w:b/>
                <w:sz w:val="24"/>
                <w:szCs w:val="24"/>
              </w:rPr>
              <w:t>运营管理与服务方案（满分</w:t>
            </w:r>
            <w:r>
              <w:rPr>
                <w:rFonts w:ascii="宋体" w:cs="Arial" w:hint="eastAsia"/>
                <w:b/>
                <w:sz w:val="24"/>
                <w:szCs w:val="24"/>
                <w:lang w:val="en-US" w:eastAsia="zh-CN"/>
              </w:rPr>
              <w:t>8</w:t>
            </w:r>
            <w:r>
              <w:rPr>
                <w:rFonts w:ascii="宋体" w:cs="Arial" w:hint="eastAsia"/>
                <w:b/>
                <w:sz w:val="24"/>
                <w:szCs w:val="24"/>
              </w:rPr>
              <w:t>分）</w:t>
            </w:r>
          </w:p>
        </w:tc>
        <w:tc>
          <w:tcPr>
            <w:tcW w:w="5331" w:type="dxa"/>
            <w:tcBorders>
              <w:top w:val="single" w:sz="4" w:space="0" w:color="auto"/>
            </w:tcBorders>
            <w:vAlign w:val="center"/>
          </w:tcPr>
          <w:p>
            <w:pPr>
              <w:jc w:val="both"/>
              <w:rPr>
                <w:rFonts w:ascii="宋体" w:cs="Arial" w:hint="eastAsia"/>
                <w:b/>
                <w:sz w:val="24"/>
                <w:szCs w:val="24"/>
              </w:rPr>
            </w:pPr>
            <w:r>
              <w:rPr>
                <w:rFonts w:ascii="宋体" w:cs="Arial" w:hint="eastAsia"/>
                <w:b/>
                <w:sz w:val="24"/>
                <w:szCs w:val="24"/>
              </w:rPr>
              <w:t>- 出入库管理、台账、卫生、消杀、值班制度完善：6–8分</w:t>
            </w:r>
          </w:p>
          <w:p>
            <w:pPr>
              <w:jc w:val="both"/>
              <w:rPr>
                <w:rFonts w:ascii="宋体" w:cs="Arial" w:hint="eastAsia"/>
                <w:b/>
                <w:sz w:val="24"/>
                <w:szCs w:val="24"/>
              </w:rPr>
            </w:pPr>
            <w:r>
              <w:rPr>
                <w:rFonts w:ascii="宋体" w:cs="Arial" w:hint="eastAsia"/>
                <w:b/>
                <w:sz w:val="24"/>
                <w:szCs w:val="24"/>
              </w:rPr>
              <w:t>- 基本满足：3–5分</w:t>
            </w:r>
          </w:p>
          <w:p>
            <w:pPr>
              <w:jc w:val="both"/>
              <w:rPr>
                <w:rFonts w:ascii="宋体" w:cs="Arial" w:hint="eastAsia"/>
                <w:b/>
                <w:sz w:val="24"/>
                <w:szCs w:val="24"/>
              </w:rPr>
            </w:pPr>
            <w:r>
              <w:rPr>
                <w:rFonts w:ascii="宋体" w:cs="Arial" w:hint="eastAsia"/>
                <w:b/>
                <w:sz w:val="24"/>
                <w:szCs w:val="24"/>
              </w:rPr>
              <w:t>- 管理简单粗放：0–2分</w:t>
            </w:r>
          </w:p>
        </w:tc>
      </w:tr>
      <w:tr>
        <w:trPr>
          <w:trHeight w:val="1058"/>
        </w:trPr>
        <w:tc>
          <w:tcPr>
            <w:tcW w:w="780" w:type="dxa"/>
            <w:vMerge/>
            <w:vAlign w:val="center"/>
          </w:tcPr>
          <w:p/>
        </w:tc>
        <w:tc>
          <w:tcPr>
            <w:tcW w:w="1138" w:type="dxa"/>
            <w:vMerge/>
            <w:tcBorders>
              <w:top w:val="single" w:sz="4" w:space="0" w:color="000000"/>
              <w:left w:val="single" w:sz="4" w:space="0" w:color="000000"/>
              <w:right w:val="single" w:sz="4" w:space="0" w:color="000000"/>
            </w:tcBorders>
            <w:vAlign w:val="center"/>
          </w:tcPr>
          <w:p/>
        </w:tc>
        <w:tc>
          <w:tcPr>
            <w:tcW w:w="1473" w:type="dxa"/>
            <w:tcBorders>
              <w:top w:val="single" w:sz="4" w:space="0" w:color="auto"/>
            </w:tcBorders>
            <w:vAlign w:val="center"/>
          </w:tcPr>
          <w:p>
            <w:pPr>
              <w:jc w:val="center"/>
              <w:rPr>
                <w:rFonts w:ascii="宋体" w:cs="Arial" w:hint="eastAsia"/>
                <w:b/>
                <w:sz w:val="24"/>
                <w:szCs w:val="24"/>
              </w:rPr>
            </w:pPr>
            <w:r>
              <w:rPr>
                <w:rFonts w:ascii="宋体" w:cs="Arial" w:hint="eastAsia"/>
                <w:b/>
                <w:sz w:val="24"/>
                <w:szCs w:val="24"/>
              </w:rPr>
              <w:t>应急与保障能力（</w:t>
            </w:r>
            <w:r>
              <w:rPr>
                <w:rFonts w:ascii="宋体" w:cs="Arial" w:hint="eastAsia"/>
                <w:b/>
                <w:sz w:val="24"/>
                <w:szCs w:val="24"/>
                <w:lang w:val="en-US" w:eastAsia="zh-CN"/>
              </w:rPr>
              <w:t>5</w:t>
            </w:r>
            <w:r>
              <w:rPr>
                <w:rFonts w:ascii="宋体" w:cs="Arial" w:hint="eastAsia"/>
                <w:b/>
                <w:sz w:val="24"/>
                <w:szCs w:val="24"/>
              </w:rPr>
              <w:t>分）</w:t>
            </w:r>
          </w:p>
        </w:tc>
        <w:tc>
          <w:tcPr>
            <w:tcW w:w="5331" w:type="dxa"/>
            <w:tcBorders>
              <w:top w:val="single" w:sz="4" w:space="0" w:color="auto"/>
            </w:tcBorders>
            <w:vAlign w:val="center"/>
          </w:tcPr>
          <w:p>
            <w:pPr>
              <w:jc w:val="both"/>
              <w:rPr>
                <w:rFonts w:ascii="宋体" w:cs="Arial" w:hint="eastAsia"/>
                <w:b/>
                <w:sz w:val="24"/>
                <w:szCs w:val="24"/>
              </w:rPr>
            </w:pPr>
            <w:r>
              <w:rPr>
                <w:rFonts w:ascii="宋体" w:cs="Arial" w:hint="eastAsia"/>
                <w:b/>
                <w:sz w:val="24"/>
                <w:szCs w:val="24"/>
              </w:rPr>
              <w:t>- 停电应急、故障抢修、24小时响应、应急预案齐全：</w:t>
            </w:r>
            <w:r>
              <w:rPr>
                <w:rFonts w:ascii="宋体" w:cs="Arial" w:hint="eastAsia"/>
                <w:b/>
                <w:sz w:val="24"/>
                <w:szCs w:val="24"/>
                <w:lang w:val="en-US" w:eastAsia="zh-CN"/>
              </w:rPr>
              <w:t>4</w:t>
            </w:r>
            <w:r>
              <w:rPr>
                <w:rFonts w:ascii="宋体" w:cs="Arial" w:hint="eastAsia"/>
                <w:b/>
                <w:sz w:val="24"/>
                <w:szCs w:val="24"/>
              </w:rPr>
              <w:t>–</w:t>
            </w:r>
            <w:r>
              <w:rPr>
                <w:rFonts w:ascii="宋体" w:cs="Arial" w:hint="eastAsia"/>
                <w:b/>
                <w:sz w:val="24"/>
                <w:szCs w:val="24"/>
                <w:lang w:val="en-US" w:eastAsia="zh-CN"/>
              </w:rPr>
              <w:t>5</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基本满足：</w:t>
            </w:r>
            <w:r>
              <w:rPr>
                <w:rFonts w:ascii="宋体" w:cs="Arial" w:hint="eastAsia"/>
                <w:b/>
                <w:sz w:val="24"/>
                <w:szCs w:val="24"/>
                <w:lang w:val="en-US" w:eastAsia="zh-CN"/>
              </w:rPr>
              <w:t>1</w:t>
            </w:r>
            <w:r>
              <w:rPr>
                <w:rFonts w:ascii="宋体" w:cs="Arial" w:hint="eastAsia"/>
                <w:b/>
                <w:sz w:val="24"/>
                <w:szCs w:val="24"/>
              </w:rPr>
              <w:t>–</w:t>
            </w:r>
            <w:r>
              <w:rPr>
                <w:rFonts w:ascii="宋体" w:cs="Arial" w:hint="eastAsia"/>
                <w:b/>
                <w:sz w:val="24"/>
                <w:szCs w:val="24"/>
                <w:lang w:val="en-US" w:eastAsia="zh-CN"/>
              </w:rPr>
              <w:t>3</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无应急方案：0分</w:t>
            </w:r>
          </w:p>
        </w:tc>
      </w:tr>
      <w:tr>
        <w:trPr>
          <w:trHeight w:val="1006"/>
        </w:trPr>
        <w:tc>
          <w:tcPr>
            <w:tcW w:w="780" w:type="dxa"/>
            <w:vMerge w:val="restart"/>
            <w:vAlign w:val="center"/>
          </w:tcPr>
          <w:p>
            <w:pPr>
              <w:spacing w:line="400" w:lineRule="exact"/>
              <w:jc w:val="center"/>
              <w:rPr>
                <w:rFonts w:ascii="宋体" w:cs="Arial"/>
                <w:sz w:val="24"/>
                <w:szCs w:val="24"/>
              </w:rPr>
            </w:pPr>
            <w:r>
              <w:rPr>
                <w:rFonts w:ascii="宋体" w:cs="Arial" w:hint="eastAsia"/>
                <w:sz w:val="24"/>
                <w:szCs w:val="24"/>
              </w:rPr>
              <w:t>3</w:t>
            </w:r>
          </w:p>
        </w:tc>
        <w:tc>
          <w:tcPr>
            <w:tcW w:w="1138" w:type="dxa"/>
            <w:vMerge w:val="restart"/>
            <w:tcBorders>
              <w:top w:val="single" w:sz="4" w:space="0" w:color="000000"/>
              <w:left w:val="single" w:sz="4" w:space="0" w:color="000000"/>
              <w:right w:val="single" w:sz="4" w:space="0" w:color="000000"/>
            </w:tcBorders>
            <w:vAlign w:val="center"/>
          </w:tcPr>
          <w:p>
            <w:pPr>
              <w:jc w:val="center"/>
              <w:rPr>
                <w:rFonts w:ascii="宋体" w:cs="Arial" w:hint="eastAsia"/>
                <w:b/>
                <w:sz w:val="24"/>
                <w:szCs w:val="24"/>
              </w:rPr>
            </w:pPr>
            <w:r>
              <w:rPr>
                <w:rFonts w:ascii="宋体" w:cs="Arial" w:hint="eastAsia"/>
                <w:b/>
                <w:sz w:val="24"/>
                <w:szCs w:val="24"/>
              </w:rPr>
              <w:t>商务资信（20分）</w:t>
            </w:r>
          </w:p>
          <w:p>
            <w:pPr>
              <w:jc w:val="center"/>
              <w:rPr>
                <w:rFonts w:ascii="宋体" w:cs="Arial" w:hint="eastAsia"/>
                <w:b/>
                <w:sz w:val="24"/>
                <w:szCs w:val="24"/>
              </w:rPr>
            </w:pPr>
          </w:p>
        </w:tc>
        <w:tc>
          <w:tcPr>
            <w:tcW w:w="1473" w:type="dxa"/>
            <w:tcBorders>
              <w:top w:val="single" w:sz="4" w:space="0" w:color="auto"/>
            </w:tcBorders>
            <w:vAlign w:val="center"/>
          </w:tcPr>
          <w:p>
            <w:pPr>
              <w:jc w:val="center"/>
              <w:rPr>
                <w:rFonts w:ascii="宋体" w:cs="Arial" w:hint="eastAsia"/>
                <w:b/>
                <w:sz w:val="24"/>
                <w:szCs w:val="24"/>
              </w:rPr>
            </w:pPr>
            <w:r>
              <w:rPr>
                <w:rFonts w:ascii="宋体" w:cs="Arial" w:hint="eastAsia"/>
                <w:b/>
                <w:sz w:val="24"/>
                <w:szCs w:val="24"/>
              </w:rPr>
              <w:t>企业资格（</w:t>
            </w:r>
            <w:r>
              <w:rPr>
                <w:rFonts w:ascii="宋体" w:cs="Arial" w:hint="eastAsia"/>
                <w:b/>
                <w:sz w:val="24"/>
                <w:szCs w:val="24"/>
                <w:lang w:val="en-US" w:eastAsia="zh-CN"/>
              </w:rPr>
              <w:t>10</w:t>
            </w:r>
            <w:r>
              <w:rPr>
                <w:rFonts w:ascii="宋体" w:cs="Arial" w:hint="eastAsia"/>
                <w:b/>
                <w:sz w:val="24"/>
                <w:szCs w:val="24"/>
              </w:rPr>
              <w:t>分）</w:t>
            </w:r>
          </w:p>
        </w:tc>
        <w:tc>
          <w:tcPr>
            <w:tcW w:w="5331" w:type="dxa"/>
            <w:tcBorders>
              <w:top w:val="single" w:sz="4" w:space="0" w:color="auto"/>
            </w:tcBorders>
            <w:vAlign w:val="center"/>
          </w:tcPr>
          <w:p>
            <w:pPr>
              <w:jc w:val="both"/>
              <w:rPr>
                <w:rFonts w:ascii="宋体" w:cs="Arial" w:hint="eastAsia"/>
                <w:b/>
                <w:sz w:val="24"/>
                <w:szCs w:val="24"/>
              </w:rPr>
            </w:pPr>
            <w:r>
              <w:rPr>
                <w:rFonts w:ascii="宋体" w:cs="Arial" w:hint="eastAsia"/>
                <w:b/>
                <w:sz w:val="24"/>
                <w:szCs w:val="24"/>
              </w:rPr>
              <w:t>- 合法经营、营业执照经营范围含冷库租赁/仓储服务：</w:t>
            </w:r>
            <w:r>
              <w:rPr>
                <w:rFonts w:ascii="宋体" w:cs="Arial" w:hint="eastAsia"/>
                <w:b/>
                <w:sz w:val="24"/>
                <w:szCs w:val="24"/>
                <w:lang w:val="en-US" w:eastAsia="zh-CN"/>
              </w:rPr>
              <w:t>10</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资格满足但材料不全：2–</w:t>
            </w:r>
            <w:r>
              <w:rPr>
                <w:rFonts w:ascii="宋体" w:cs="Arial" w:hint="eastAsia"/>
                <w:b/>
                <w:sz w:val="24"/>
                <w:szCs w:val="24"/>
                <w:lang w:val="en-US" w:eastAsia="zh-CN"/>
              </w:rPr>
              <w:t>8</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不满足：0分</w:t>
            </w:r>
          </w:p>
        </w:tc>
      </w:tr>
      <w:tr>
        <w:trPr>
          <w:trHeight w:val="444"/>
        </w:trPr>
        <w:tc>
          <w:tcPr>
            <w:tcW w:w="780" w:type="dxa"/>
            <w:vMerge/>
            <w:vAlign w:val="center"/>
          </w:tcPr>
          <w:p/>
        </w:tc>
        <w:tc>
          <w:tcPr>
            <w:tcW w:w="1138" w:type="dxa"/>
            <w:vMerge/>
            <w:tcBorders>
              <w:top w:val="single" w:sz="4" w:space="0" w:color="000000"/>
              <w:left w:val="single" w:sz="4" w:space="0" w:color="000000"/>
              <w:right w:val="single" w:sz="4" w:space="0" w:color="000000"/>
            </w:tcBorders>
            <w:vAlign w:val="center"/>
          </w:tcPr>
          <w:p/>
        </w:tc>
        <w:tc>
          <w:tcPr>
            <w:tcW w:w="1473" w:type="dxa"/>
            <w:tcBorders>
              <w:left w:val="single" w:sz="4" w:space="0" w:color="auto"/>
            </w:tcBorders>
            <w:vAlign w:val="center"/>
          </w:tcPr>
          <w:p>
            <w:pPr>
              <w:jc w:val="center"/>
              <w:rPr>
                <w:rFonts w:ascii="宋体" w:cs="Arial" w:hint="eastAsia"/>
                <w:b/>
                <w:sz w:val="24"/>
                <w:szCs w:val="24"/>
              </w:rPr>
            </w:pPr>
            <w:r>
              <w:rPr>
                <w:rFonts w:ascii="宋体" w:cs="Arial" w:hint="eastAsia"/>
                <w:b/>
                <w:sz w:val="24"/>
                <w:szCs w:val="24"/>
              </w:rPr>
              <w:t>同类冷库租赁业绩（</w:t>
            </w:r>
            <w:r>
              <w:rPr>
                <w:rFonts w:ascii="宋体" w:cs="Arial" w:hint="eastAsia"/>
                <w:b/>
                <w:sz w:val="24"/>
                <w:szCs w:val="24"/>
                <w:lang w:val="en-US" w:eastAsia="zh-CN"/>
              </w:rPr>
              <w:t>6</w:t>
            </w:r>
            <w:r>
              <w:rPr>
                <w:rFonts w:ascii="宋体" w:cs="Arial" w:hint="eastAsia"/>
                <w:b/>
                <w:sz w:val="24"/>
                <w:szCs w:val="24"/>
              </w:rPr>
              <w:t>分）</w:t>
            </w:r>
          </w:p>
        </w:tc>
        <w:tc>
          <w:tcPr>
            <w:tcW w:w="5331" w:type="dxa"/>
            <w:vAlign w:val="center"/>
          </w:tcPr>
          <w:p>
            <w:pPr>
              <w:jc w:val="both"/>
              <w:rPr>
                <w:rFonts w:ascii="宋体" w:cs="Arial" w:hint="eastAsia"/>
                <w:b/>
                <w:sz w:val="24"/>
                <w:szCs w:val="24"/>
              </w:rPr>
            </w:pPr>
            <w:r>
              <w:rPr>
                <w:rFonts w:ascii="宋体" w:cs="Arial" w:hint="eastAsia"/>
                <w:b/>
                <w:sz w:val="24"/>
                <w:szCs w:val="24"/>
              </w:rPr>
              <w:t>- 近3年内同类冷库租赁业绩≥2个：</w:t>
            </w:r>
            <w:r>
              <w:rPr>
                <w:rFonts w:ascii="宋体" w:cs="Arial" w:hint="eastAsia"/>
                <w:b/>
                <w:sz w:val="24"/>
                <w:szCs w:val="24"/>
                <w:lang w:val="en-US" w:eastAsia="zh-CN"/>
              </w:rPr>
              <w:t>6</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- 1个业绩：</w:t>
            </w:r>
            <w:r>
              <w:rPr>
                <w:rFonts w:ascii="宋体" w:cs="Arial" w:hint="eastAsia"/>
                <w:b/>
                <w:sz w:val="24"/>
                <w:szCs w:val="24"/>
                <w:lang w:val="en-US" w:eastAsia="zh-CN"/>
              </w:rPr>
              <w:t>3</w:t>
            </w:r>
            <w:r>
              <w:rPr>
                <w:rFonts w:ascii="宋体" w:cs="Arial" w:hint="eastAsia"/>
                <w:b/>
                <w:sz w:val="24"/>
                <w:szCs w:val="24"/>
              </w:rPr>
              <w:t>分</w:t>
            </w:r>
          </w:p>
          <w:p>
            <w:pPr>
              <w:jc w:val="both"/>
              <w:rPr>
                <w:rFonts w:ascii="宋体" w:cs="Arial" w:hint="eastAsia"/>
                <w:b/>
                <w:sz w:val="24"/>
                <w:szCs w:val="24"/>
              </w:rPr>
            </w:pPr>
            <w:r>
              <w:rPr>
                <w:rFonts w:ascii="宋体" w:cs="Arial" w:hint="eastAsia"/>
                <w:b/>
                <w:sz w:val="24"/>
                <w:szCs w:val="24"/>
              </w:rPr>
              <w:t>- 无业绩：0分</w:t>
            </w:r>
          </w:p>
        </w:tc>
      </w:tr>
      <w:tr>
        <w:trPr>
          <w:trHeight w:val="444"/>
        </w:trPr>
        <w:tc>
          <w:tcPr>
            <w:tcW w:w="780" w:type="dxa"/>
            <w:vMerge/>
            <w:vAlign w:val="center"/>
          </w:tcPr>
          <w:p/>
        </w:tc>
        <w:tc>
          <w:tcPr>
            <w:tcW w:w="1138" w:type="dxa"/>
            <w:vMerge/>
            <w:tcBorders>
              <w:top w:val="single" w:sz="4" w:space="0" w:color="000000"/>
              <w:left w:val="single" w:sz="4" w:space="0" w:color="000000"/>
              <w:right w:val="single" w:sz="4" w:space="0" w:color="000000"/>
            </w:tcBorders>
            <w:vAlign w:val="center"/>
          </w:tcPr>
          <w:p/>
        </w:tc>
        <w:tc>
          <w:tcPr>
            <w:tcW w:w="1473" w:type="dxa"/>
            <w:tcBorders>
              <w:left w:val="single" w:sz="4" w:space="0" w:color="auto"/>
            </w:tcBorders>
            <w:vAlign w:val="center"/>
          </w:tcPr>
          <w:p>
            <w:pPr>
              <w:jc w:val="center"/>
              <w:rPr>
                <w:rFonts w:ascii="宋体" w:cs="Arial" w:hint="eastAsia"/>
                <w:b/>
                <w:sz w:val="24"/>
                <w:szCs w:val="24"/>
              </w:rPr>
            </w:pPr>
            <w:r>
              <w:rPr>
                <w:rFonts w:ascii="宋体" w:cs="Arial" w:hint="eastAsia"/>
                <w:b/>
                <w:sz w:val="24"/>
                <w:szCs w:val="24"/>
              </w:rPr>
              <w:t>合同履约及服务承诺（4分）</w:t>
            </w:r>
          </w:p>
        </w:tc>
        <w:tc>
          <w:tcPr>
            <w:tcW w:w="5331" w:type="dxa"/>
            <w:vAlign w:val="center"/>
          </w:tcPr>
          <w:p>
            <w:pPr>
              <w:jc w:val="both"/>
              <w:rPr>
                <w:rFonts w:ascii="宋体" w:cs="Arial" w:hint="eastAsia"/>
                <w:b/>
                <w:sz w:val="24"/>
                <w:szCs w:val="24"/>
              </w:rPr>
            </w:pPr>
            <w:r>
              <w:rPr>
                <w:rFonts w:ascii="宋体" w:cs="Arial" w:hint="eastAsia"/>
                <w:b/>
                <w:sz w:val="24"/>
                <w:szCs w:val="24"/>
              </w:rPr>
              <w:t>- 租期、续租、退租、维修、发票等承诺清晰全面：4分</w:t>
            </w:r>
          </w:p>
          <w:p>
            <w:pPr>
              <w:jc w:val="both"/>
              <w:rPr>
                <w:rFonts w:ascii="宋体" w:cs="Arial" w:hint="eastAsia"/>
                <w:b/>
                <w:sz w:val="24"/>
                <w:szCs w:val="24"/>
              </w:rPr>
            </w:pPr>
            <w:r>
              <w:rPr>
                <w:rFonts w:ascii="宋体" w:cs="Arial" w:hint="eastAsia"/>
                <w:b/>
                <w:sz w:val="24"/>
                <w:szCs w:val="24"/>
              </w:rPr>
              <w:t>- 基本满足：2分</w:t>
            </w:r>
          </w:p>
          <w:p>
            <w:pPr>
              <w:jc w:val="both"/>
              <w:rPr>
                <w:rFonts w:ascii="宋体" w:cs="Arial" w:hint="eastAsia"/>
                <w:b/>
                <w:sz w:val="24"/>
                <w:szCs w:val="24"/>
              </w:rPr>
            </w:pPr>
            <w:r>
              <w:rPr>
                <w:rFonts w:ascii="宋体" w:cs="Arial" w:hint="eastAsia"/>
                <w:b/>
                <w:sz w:val="24"/>
                <w:szCs w:val="24"/>
              </w:rPr>
              <w:t>- 承诺不明确：0分</w:t>
            </w:r>
          </w:p>
        </w:tc>
      </w:tr>
    </w:tbl>
    <w:p>
      <w:pPr>
        <w:snapToGrid w:val="0"/>
        <w:spacing w:line="480" w:lineRule="exact"/>
        <w:ind w:firstLineChars="200" w:firstLine="560"/>
        <w:jc w:val="left"/>
        <w:rPr>
          <w:rFonts w:ascii="方正仿宋_GBK" w:eastAsia="方正仿宋_GBK" w:cs="Times New Roman" w:hint="eastAsia"/>
          <w:b w:val="0"/>
          <w:sz w:val="28"/>
          <w:szCs w:val="28"/>
        </w:rPr>
      </w:pPr>
      <w:r>
        <w:rPr>
          <w:rFonts w:ascii="方正仿宋_GBK" w:eastAsia="方正仿宋_GBK" w:cs="Times New Roman" w:hint="eastAsia"/>
          <w:b w:val="0"/>
          <w:sz w:val="28"/>
          <w:szCs w:val="28"/>
        </w:rPr>
        <w:t>（三）成交候选人确定/推荐原则</w:t>
      </w:r>
    </w:p>
    <w:p>
      <w:pPr>
        <w:snapToGrid w:val="0"/>
        <w:spacing w:line="480" w:lineRule="exact"/>
        <w:ind w:firstLineChars="200" w:firstLine="560"/>
        <w:jc w:val="left"/>
        <w:rPr>
          <w:rFonts w:ascii="方正仿宋_GBK" w:eastAsia="方正仿宋_GBK"/>
          <w:sz w:val="28"/>
          <w:szCs w:val="28"/>
        </w:rPr>
      </w:pPr>
      <w:r>
        <w:rPr>
          <w:rFonts w:ascii="方正仿宋_GBK" w:eastAsia="方正仿宋_GBK" w:hint="eastAsia"/>
          <w:sz w:val="28"/>
          <w:szCs w:val="28"/>
        </w:rPr>
        <w:t>评审小组将按总得分由高到低排列成交候选供应商顺序（总得分相同时，依次按报价低优先、技术分高优先、质量保证期长优先、提交服务成果时间短优先、处理问题到达时间短优先的顺序排列），并依照次序确定/推荐成交候选人。</w:t>
      </w:r>
    </w:p>
    <w:p>
      <w:pPr>
        <w:spacing w:line="480" w:lineRule="exact"/>
        <w:ind w:firstLine="630"/>
        <w:rPr>
          <w:rFonts w:eastAsia="方正仿宋_GBK"/>
          <w:sz w:val="28"/>
          <w:szCs w:val="28"/>
        </w:rPr>
      </w:pPr>
      <w:r>
        <w:rPr>
          <w:rFonts w:eastAsia="方正黑体_GBK"/>
          <w:sz w:val="28"/>
          <w:szCs w:val="28"/>
        </w:rPr>
        <w:t>五</w:t>
      </w:r>
      <w:r>
        <w:rPr>
          <w:rFonts w:eastAsia="方正黑体_GBK" w:hint="eastAsia"/>
          <w:sz w:val="28"/>
          <w:szCs w:val="28"/>
        </w:rPr>
        <w:t>、评审地点</w:t>
      </w:r>
      <w:r>
        <w:rPr>
          <w:rFonts w:eastAsia="方正仿宋_GBK" w:hint="eastAsia"/>
          <w:sz w:val="28"/>
          <w:szCs w:val="28"/>
        </w:rPr>
        <w:t>：</w:t>
      </w:r>
      <w:r>
        <w:rPr>
          <w:rFonts w:eastAsia="方正仿宋_GBK" w:hint="eastAsia"/>
          <w:sz w:val="28"/>
          <w:szCs w:val="28"/>
          <w:lang w:eastAsia="zh-CN"/>
        </w:rPr>
        <w:t>贵港海关第一办公区</w:t>
      </w:r>
      <w:r>
        <w:rPr>
          <w:rFonts w:eastAsia="方正仿宋_GBK" w:hint="eastAsia"/>
          <w:sz w:val="28"/>
          <w:szCs w:val="28"/>
          <w:lang w:val="en-US" w:eastAsia="zh-CN"/>
        </w:rPr>
        <w:t>708会议</w:t>
      </w:r>
      <w:r>
        <w:rPr>
          <w:rFonts w:eastAsia="方正仿宋_GBK"/>
          <w:sz w:val="28"/>
          <w:szCs w:val="28"/>
        </w:rPr>
        <w:t>室</w:t>
      </w:r>
      <w:r>
        <w:rPr>
          <w:rFonts w:eastAsia="方正仿宋_GBK" w:hint="eastAsia"/>
          <w:sz w:val="28"/>
          <w:szCs w:val="28"/>
        </w:rPr>
        <w:t>。</w:t>
      </w:r>
    </w:p>
    <w:sectPr>
      <w:pgSz w:w="11907" w:h="16840"/>
      <w:pgMar w:top="1440" w:right="1588" w:bottom="1440"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altName w:val="微软雅黑"/>
    <w:panose1 w:val="03000509000000000000"/>
    <w:charset w:val="86"/>
    <w:family w:val="script"/>
    <w:pitch w:val="variable"/>
    <w:sig w:usb0="00000000" w:usb1="00000000" w:usb2="00000010" w:usb3="00000000" w:csb0="00040000" w:csb1="00000000"/>
  </w:font>
  <w:font w:name="方正黑体_GBK">
    <w:altName w:val="微软雅黑"/>
    <w:panose1 w:val="03000509000000000000"/>
    <w:charset w:val="86"/>
    <w:family w:val="script"/>
    <w:pitch w:val="variable"/>
    <w:sig w:usb0="00000000" w:usb1="00000000" w:usb2="00000010" w:usb3="00000000" w:csb0="00040000" w:csb1="00000000"/>
  </w:font>
  <w:font w:name="方正楷体_GBK">
    <w:altName w:val="微软雅黑"/>
    <w:panose1 w:val="03000509000000000000"/>
    <w:charset w:val="86"/>
    <w:family w:val="script"/>
    <w:pitch w:val="variable"/>
    <w:sig w:usb0="00000000" w:usb1="00000000" w:usb2="00000010" w:usb3="00000000" w:csb0="00040000" w:csb1="00000000"/>
  </w:font>
  <w:font w:name="方正仿宋_GBK">
    <w:altName w:val="微软雅黑"/>
    <w:panose1 w:val="03000509000000000000"/>
    <w:charset w:val="86"/>
    <w:family w:val="script"/>
    <w:pitch w:val="variable"/>
    <w:sig w:usb0="00000000" w:usb1="00000000" w:usb2="00000010" w:usb3="00000000" w:csb0="00040000"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 w:name="Arial">
    <w:altName w:val="DejaVu Sans"/>
    <w:panose1 w:val="020B0604020202020204"/>
    <w:charset w:val="01"/>
    <w:family w:val="swiss"/>
    <w:pitch w:val="variable"/>
    <w:sig w:usb0="E0002AFF" w:usb1="C0007843" w:usb2="00000009" w:usb3="00000000" w:csb0="400001FF" w:csb1="FFFF0000"/>
  </w:font>
  <w:font w:name="黑体">
    <w:altName w:val="方正黑体_GBK"/>
    <w:panose1 w:val="00000000000000000000"/>
    <w:charset w:val="00"/>
    <w:family w:val="auto"/>
    <w:pitch w:val="variable"/>
    <w:sig w:usb0="00000000" w:usb1="00000000" w:usb2="00000000" w:usb3="00000000" w:csb0="00000000" w:csb1="00000000"/>
  </w:font>
  <w:font w:name="Calibri">
    <w:altName w:val="Times New Roman"/>
    <w:panose1 w:val="020F0502020204030204"/>
    <w:charset w:val="00"/>
    <w:family w:val="swiss"/>
    <w:pitch w:val="variable"/>
    <w:sig w:usb0="E00002FF" w:usb1="4000ACFF" w:usb2="00000001" w:usb3="00000000" w:csb0="2000019F" w:csb1="00000000"/>
  </w:font>
  <w:font w:name="Courier New">
    <w:altName w:val="DejaVu Sans"/>
    <w:panose1 w:val="02070309020205020404"/>
    <w:charset w:val="01"/>
    <w:family w:val="modern"/>
    <w:pitch w:val="variable"/>
    <w:sig w:usb0="E0002AFF" w:usb1="C0007843" w:usb2="00000009" w:usb3="00000000" w:csb0="400001FF" w:csb1="FFFF0000"/>
  </w:font>
  <w:font w:name="微软雅黑">
    <w:altName w:val="方正黑体_GBK"/>
    <w:panose1 w:val="020B0503020204020204"/>
    <w:charset w:val="86"/>
    <w:family w:val="swiss"/>
    <w:pitch w:val="variable"/>
    <w:sig w:usb0="80000287" w:usb1="280F3C52" w:usb2="00000016" w:usb3="00000000" w:csb0="0004001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1"/>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annotation text"/>
    <w:basedOn w:val="0"/>
    <w:pPr>
      <w:jc w:val="left"/>
    </w:pPr>
    <w:rPr>
      <w:rFonts w:ascii="Calibri" w:hAnsi="Calibri"/>
      <w:szCs w:val="24"/>
    </w:rPr>
  </w:style>
  <w:style w:type="paragraph" w:styleId="16">
    <w:name w:val="Plain Text"/>
    <w:next w:val="0"/>
    <w:pPr>
      <w:widowControl w:val="0"/>
      <w:suppressAutoHyphens/>
      <w:jc w:val="both"/>
    </w:pPr>
    <w:rPr>
      <w:rFonts w:ascii="宋体" w:eastAsia="宋体" w:cs="Courier New"/>
      <w:kern w:val="2"/>
      <w:sz w:val="21"/>
      <w:szCs w:val="21"/>
      <w:lang w:val="en-US" w:eastAsia="zh-CN" w:bidi="ar-SA"/>
    </w:r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sz w:val="18"/>
      <w:szCs w:val="18"/>
    </w:rPr>
  </w:style>
  <w:style w:type="paragraph" w:styleId="19">
    <w:name w:val="header"/>
    <w:basedOn w:val="0"/>
    <w:pPr>
      <w:pBdr>
        <w:bottom w:val="single" w:sz="6" w:space="1" w:color="auto"/>
      </w:pBdr>
      <w:tabs>
        <w:tab w:val="center" w:pos="4153"/>
        <w:tab w:val="right" w:pos="8306"/>
      </w:tabs>
      <w:snapToGrid w:val="0"/>
      <w:jc w:val="center"/>
    </w:pPr>
    <w:rPr>
      <w:sz w:val="18"/>
      <w:szCs w:val="18"/>
    </w:rPr>
  </w:style>
  <w:style w:type="paragraph" w:styleId="20">
    <w:name w:val="Body Text Indent 3"/>
    <w:pPr>
      <w:widowControl w:val="0"/>
      <w:suppressAutoHyphens/>
      <w:spacing w:after="120"/>
      <w:ind w:leftChars="200" w:left="200"/>
      <w:jc w:val="both"/>
    </w:pPr>
    <w:rPr>
      <w:rFonts w:ascii="Times New Roman" w:eastAsia="宋体" w:cs="Times New Roman" w:hAnsi="Times New Roman"/>
      <w:kern w:val="2"/>
      <w:sz w:val="16"/>
      <w:szCs w:val="16"/>
      <w:lang w:val="en-US" w:eastAsia="zh-CN" w:bidi="ar-SA"/>
    </w:rPr>
  </w:style>
  <w:style w:type="paragraph" w:styleId="21">
    <w:name w:val="Normal (Web)"/>
    <w:basedOn w:val="0"/>
    <w:pPr>
      <w:widowControl/>
      <w:spacing w:line="480" w:lineRule="auto"/>
      <w:jc w:val="left"/>
    </w:pPr>
    <w:rPr>
      <w:rFonts w:ascii="宋体" w:eastAsia="微软雅黑" w:cs="宋体" w:hAnsi="宋体"/>
      <w:kern w:val="0"/>
      <w:sz w:val="24"/>
      <w:szCs w:val="24"/>
    </w:rPr>
  </w:style>
  <w:style w:type="character" w:customStyle="1" w:styleId="22">
    <w:name w:val="纯文本 Char"/>
    <w:basedOn w:val="10"/>
    <w:rPr>
      <w:rFonts w:ascii="宋体" w:eastAsia="宋体" w:cs="Courier New"/>
      <w:szCs w:val="21"/>
    </w:rPr>
  </w:style>
  <w:style w:type="paragraph" w:customStyle="1" w:styleId="23">
    <w:name w:val="样式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24">
    <w:name w:val="样式 1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25">
    <w:name w:val="样式 2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26">
    <w:name w:val="样式 3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27">
    <w:name w:val="样式 4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28">
    <w:name w:val="样式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9">
    <w:name w:val="样式 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0">
    <w:name w:val="样式 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1">
    <w:name w:val="样式 3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2">
    <w:name w:val="样式 4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3">
    <w:name w:val="样式 5 10 磅"/>
    <w:pPr>
      <w:widowControl w:val="0"/>
      <w:suppressAutoHyphens/>
      <w:jc w:val="both"/>
    </w:pPr>
    <w:rPr>
      <w:rFonts w:ascii="宋体" w:eastAsia="宋体" w:cs="Courier New"/>
      <w:kern w:val="2"/>
      <w:sz w:val="21"/>
      <w:szCs w:val="21"/>
      <w:lang w:val="en-US" w:eastAsia="zh-CN" w:bidi="ar-SA"/>
    </w:rPr>
  </w:style>
  <w:style w:type="paragraph" w:customStyle="1" w:styleId="34">
    <w:name w:val="样式 6 10 磅"/>
    <w:pPr>
      <w:widowControl w:val="0"/>
      <w:suppressAutoHyphens/>
      <w:jc w:val="both"/>
    </w:pPr>
    <w:rPr>
      <w:rFonts w:ascii="宋体" w:eastAsia="宋体" w:cs="Courier New"/>
      <w:kern w:val="2"/>
      <w:sz w:val="21"/>
      <w:szCs w:val="21"/>
      <w:lang w:val="en-US" w:eastAsia="zh-CN" w:bidi="ar-SA"/>
    </w:rPr>
  </w:style>
  <w:style w:type="paragraph" w:customStyle="1" w:styleId="35">
    <w:name w:val="样式 7 10 磅"/>
    <w:pPr>
      <w:widowControl w:val="0"/>
      <w:suppressAutoHyphens/>
      <w:jc w:val="both"/>
    </w:pPr>
    <w:rPr>
      <w:rFonts w:ascii="宋体" w:eastAsia="宋体" w:cs="Courier New"/>
      <w:kern w:val="2"/>
      <w:sz w:val="21"/>
      <w:szCs w:val="21"/>
      <w:lang w:val="en-US" w:eastAsia="zh-CN" w:bidi="ar-SA"/>
    </w:rPr>
  </w:style>
  <w:style w:type="paragraph" w:customStyle="1" w:styleId="36">
    <w:name w:val="样式 8 10 磅"/>
    <w:pPr>
      <w:widowControl w:val="0"/>
      <w:suppressAutoHyphens/>
      <w:jc w:val="both"/>
    </w:pPr>
    <w:rPr>
      <w:rFonts w:ascii="宋体" w:eastAsia="宋体" w:cs="Courier New"/>
      <w:kern w:val="2"/>
      <w:sz w:val="21"/>
      <w:szCs w:val="21"/>
      <w:lang w:val="en-US" w:eastAsia="zh-CN" w:bidi="ar-SA"/>
    </w:rPr>
  </w:style>
  <w:style w:type="paragraph" w:customStyle="1" w:styleId="37">
    <w:name w:val="样式 5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38">
    <w:name w:val="样式 9 10 磅"/>
    <w:pPr>
      <w:widowControl w:val="0"/>
      <w:suppressAutoHyphens/>
      <w:jc w:val="both"/>
    </w:pPr>
    <w:rPr>
      <w:rFonts w:ascii="宋体" w:eastAsia="宋体" w:cs="Courier New"/>
      <w:kern w:val="2"/>
      <w:sz w:val="21"/>
      <w:szCs w:val="21"/>
      <w:lang w:val="en-US" w:eastAsia="zh-CN" w:bidi="ar-SA"/>
    </w:rPr>
  </w:style>
  <w:style w:type="paragraph" w:customStyle="1" w:styleId="39">
    <w:name w:val="样式 10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0">
    <w:name w:val="样式 1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1">
    <w:name w:val="样式 6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42">
    <w:name w:val="样式 7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43">
    <w:name w:val="样式 8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44">
    <w:name w:val="样式 1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5">
    <w:name w:val="样式 9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46">
    <w:name w:val="样式 13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4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279</TotalTime>
  <Application>Yozo_Office</Application>
  <Pages>3</Pages>
  <Words>1754</Words>
  <Characters>1848</Characters>
  <Lines>136</Lines>
  <Paragraphs>87</Paragraphs>
  <CharactersWithSpaces>1874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周朝东</cp:lastModifiedBy>
  <cp:revision>22</cp:revision>
  <cp:lastPrinted>2022-04-12T09:32:00Z</cp:lastPrinted>
  <dcterms:created xsi:type="dcterms:W3CDTF">2022-08-23T09:15:00Z</dcterms:created>
  <dcterms:modified xsi:type="dcterms:W3CDTF">2026-03-11T09:52:06Z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2052-12.1.0.25225</vt:lpwstr>
  </property>
  <property fmtid="{D5CDD505-2E9C-101B-9397-08002B2CF9AE}" pid="3" name="ICV">
    <vt:lpwstr>93987D797FDB4657B4BB7EF0450CF5A0_13</vt:lpwstr>
  </property>
  <property fmtid="{D5CDD505-2E9C-101B-9397-08002B2CF9AE}" pid="4" name="KSOTemplateDocerSaveRecord">
    <vt:lpwstr>eyJoZGlkIjoiNDI5NzEwN2U1MzdhMjU1ZmU5NWUxMDZmNWE1MTg2NmYiLCJ1c2VySWQiOiI2MjA0MTY4MjQifQ==</vt:lpwstr>
  </property>
</Properties>
</file>