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spacing w:line="560" w:lineRule="exact"/>
        <w:jc w:val="center"/>
        <w:rPr>
          <w:rFonts w:ascii="方正小标宋_GBK" w:eastAsia="方正小标宋_GBK" w:hint="eastAsia"/>
          <w:sz w:val="44"/>
          <w:szCs w:val="44"/>
        </w:rPr>
      </w:pPr>
      <w:bookmarkStart w:id="0" w:name="_GoBack"/>
      <w:bookmarkEnd w:id="0"/>
      <w:r>
        <w:rPr>
          <w:rFonts w:ascii="方正小标宋_GBK" w:eastAsia="方正小标宋_GBK" w:hint="eastAsia"/>
          <w:sz w:val="44"/>
          <w:szCs w:val="44"/>
        </w:rPr>
        <w:t>2026年度北海海关综合技术服务中心实验室仪器设备检定校准服务项目采购需求</w:t>
      </w:r>
    </w:p>
    <w:p>
      <w:pPr>
        <w:spacing w:line="560" w:lineRule="exact"/>
      </w:pPr>
    </w:p>
    <w:p>
      <w:pPr>
        <w:spacing w:line="560" w:lineRule="exact"/>
        <w:rPr>
          <w:rFonts w:ascii="方正黑体_GBK" w:eastAsia="方正黑体_GBK" w:hint="eastAsia"/>
        </w:rPr>
      </w:pPr>
      <w:r>
        <w:rPr>
          <w:rFonts w:ascii="方正黑体_GBK" w:eastAsia="方正黑体_GBK" w:hint="eastAsia"/>
        </w:rPr>
        <w:t>一、项目名称</w:t>
      </w:r>
    </w:p>
    <w:p>
      <w:pPr>
        <w:spacing w:line="560" w:lineRule="exact"/>
      </w:pPr>
      <w:r>
        <w:t xml:space="preserve">    </w:t>
      </w:r>
      <w:r>
        <w:rPr>
          <w:color w:val="auto"/>
          <w:kern w:val="0"/>
          <w:szCs w:val="32"/>
        </w:rPr>
        <w:t>2026</w:t>
      </w:r>
      <w:r>
        <w:rPr>
          <w:rFonts w:hint="eastAsia"/>
          <w:color w:val="auto"/>
          <w:kern w:val="0"/>
          <w:szCs w:val="32"/>
        </w:rPr>
        <w:t>年度北海海关综合技术服务中心实验室仪器设备检定校准服务</w:t>
      </w:r>
    </w:p>
    <w:p>
      <w:pPr>
        <w:spacing w:line="560" w:lineRule="exact"/>
      </w:pPr>
    </w:p>
    <w:p>
      <w:pPr>
        <w:spacing w:line="560" w:lineRule="exact"/>
        <w:rPr>
          <w:rFonts w:ascii="方正黑体_GBK" w:eastAsia="方正黑体_GBK" w:hint="eastAsia"/>
        </w:rPr>
      </w:pPr>
      <w:r>
        <w:rPr>
          <w:rFonts w:ascii="方正黑体_GBK" w:eastAsia="方正黑体_GBK" w:hint="eastAsia"/>
        </w:rPr>
        <w:t>二、服务要求</w:t>
      </w:r>
    </w:p>
    <w:p>
      <w:pPr>
        <w:spacing w:line="560" w:lineRule="exact"/>
        <w:ind w:firstLineChars="200" w:firstLine="632"/>
      </w:pPr>
      <w:r>
        <w:t>1.供应商根据</w:t>
      </w:r>
      <w:r>
        <w:rPr>
          <w:rFonts w:hint="eastAsia"/>
          <w:kern w:val="0"/>
          <w:szCs w:val="32"/>
        </w:rPr>
        <w:t>北海海关综合技术服务中心</w:t>
      </w:r>
      <w:r>
        <w:t>（下称采购人）所需设备的校准要求，严格按照技术法规或技术标准进行校准。</w:t>
      </w:r>
    </w:p>
    <w:p>
      <w:pPr>
        <w:spacing w:line="560" w:lineRule="exact"/>
        <w:ind w:firstLineChars="200" w:firstLine="632"/>
      </w:pPr>
      <w:r>
        <w:t>2.供应商所出具校准证书应在实验室认可能力范围内（使用体现资质能力相关标识），符合计量法等法律法规要求，测试数据科学、公正、准确。</w:t>
      </w:r>
    </w:p>
    <w:p>
      <w:pPr>
        <w:spacing w:line="560" w:lineRule="exact"/>
      </w:pPr>
    </w:p>
    <w:p>
      <w:pPr>
        <w:spacing w:line="560" w:lineRule="exact"/>
        <w:rPr>
          <w:rFonts w:ascii="方正黑体_GBK" w:eastAsia="方正黑体_GBK" w:hint="eastAsia"/>
        </w:rPr>
      </w:pPr>
      <w:r>
        <w:rPr>
          <w:rFonts w:ascii="方正黑体_GBK" w:eastAsia="方正黑体_GBK" w:hint="eastAsia"/>
        </w:rPr>
        <w:t>三、资质和能力要求</w:t>
      </w:r>
    </w:p>
    <w:p>
      <w:pPr>
        <w:spacing w:line="560" w:lineRule="exact"/>
        <w:ind w:firstLineChars="200" w:firstLine="632"/>
      </w:pPr>
      <w:r>
        <w:t>供应商需取得仪器校准业务的营业范围，并有相应的经历。需提供以下证明文件：</w:t>
      </w:r>
    </w:p>
    <w:p>
      <w:pPr>
        <w:spacing w:line="560" w:lineRule="exact"/>
        <w:ind w:firstLineChars="200" w:firstLine="632"/>
      </w:pPr>
      <w:r>
        <w:t>1.营业执照（加盖投标人公章的复印件）；</w:t>
      </w:r>
    </w:p>
    <w:p>
      <w:pPr>
        <w:spacing w:line="560" w:lineRule="exact"/>
        <w:ind w:firstLineChars="200" w:firstLine="632"/>
      </w:pPr>
      <w:r>
        <w:t>2.同类合同1份（加盖投标人公章的复印件，合同中提供服务的一方必须是投标人本身，至少包含服务内容、合同金额、签订时间、双方印章字样等）。</w:t>
      </w:r>
    </w:p>
    <w:p>
      <w:pPr>
        <w:spacing w:line="560" w:lineRule="exact"/>
      </w:pPr>
    </w:p>
    <w:p>
      <w:pPr>
        <w:spacing w:line="560" w:lineRule="exact"/>
        <w:rPr>
          <w:rFonts w:ascii="方正黑体_GBK" w:eastAsia="方正黑体_GBK" w:hint="eastAsia"/>
        </w:rPr>
      </w:pPr>
      <w:r>
        <w:rPr>
          <w:rFonts w:ascii="方正黑体_GBK" w:eastAsia="方正黑体_GBK" w:hint="eastAsia"/>
        </w:rPr>
        <w:t>四、校准报价</w:t>
      </w:r>
    </w:p>
    <w:p>
      <w:pPr>
        <w:spacing w:line="560" w:lineRule="exact"/>
        <w:ind w:firstLineChars="200" w:firstLine="632"/>
      </w:pPr>
      <w:r>
        <w:t>供应商报价应包含校准费、取送/邮寄费（在投标文件中写明取送方式）、邮寄保价费、计量标签、证书快递费等全部相关费用，实际结算中不再支付除报价费用外的其他费用。</w:t>
      </w:r>
    </w:p>
    <w:p>
      <w:pPr>
        <w:spacing w:line="560" w:lineRule="exact"/>
      </w:pPr>
    </w:p>
    <w:p>
      <w:pPr>
        <w:spacing w:line="560" w:lineRule="exact"/>
        <w:rPr>
          <w:rFonts w:ascii="方正黑体_GBK" w:eastAsia="方正黑体_GBK" w:hint="eastAsia"/>
        </w:rPr>
      </w:pPr>
      <w:r>
        <w:rPr>
          <w:rFonts w:ascii="方正黑体_GBK" w:eastAsia="方正黑体_GBK" w:hint="eastAsia"/>
        </w:rPr>
        <w:t>五、服务流程</w:t>
      </w:r>
    </w:p>
    <w:p>
      <w:pPr>
        <w:spacing w:line="560" w:lineRule="exact"/>
        <w:ind w:firstLineChars="200" w:firstLine="632"/>
      </w:pPr>
      <w:r>
        <w:t>签订合同后与采购人联系，确定具体实施时间。供应商可选择提供现场校准服务或送至计量校准实验室进行校准。如采用寄递方式，由供应商（按易碎品）承担运费和保价费用，若发生遗失或损坏，供应商协助采购人向快递公司索赔。</w:t>
      </w:r>
    </w:p>
    <w:p>
      <w:pPr>
        <w:spacing w:line="560" w:lineRule="exact"/>
        <w:ind w:firstLineChars="200" w:firstLine="632"/>
      </w:pPr>
      <w:r>
        <w:t>校准完成后</w:t>
      </w:r>
      <w:r>
        <w:rPr>
          <w:rFonts w:hint="eastAsia"/>
        </w:rPr>
        <w:t>五个工作日</w:t>
      </w:r>
      <w:r>
        <w:t>内，供应商将仪器（连同校准标签）、</w:t>
      </w:r>
      <w:r>
        <w:rPr>
          <w:rFonts w:hint="eastAsia"/>
        </w:rPr>
        <w:t>纸质</w:t>
      </w:r>
      <w:r>
        <w:t>证书</w:t>
      </w:r>
      <w:r>
        <w:rPr>
          <w:rFonts w:hint="eastAsia"/>
        </w:rPr>
        <w:t>寄给</w:t>
      </w:r>
      <w:r>
        <w:t>采购人。</w:t>
      </w:r>
    </w:p>
    <w:p>
      <w:pPr>
        <w:spacing w:line="560" w:lineRule="exact"/>
      </w:pPr>
    </w:p>
    <w:p>
      <w:pPr>
        <w:spacing w:line="560" w:lineRule="exact"/>
        <w:rPr>
          <w:rFonts w:ascii="方正黑体_GBK" w:eastAsia="方正黑体_GBK" w:hint="eastAsia"/>
        </w:rPr>
      </w:pPr>
      <w:r>
        <w:rPr>
          <w:rFonts w:ascii="方正黑体_GBK" w:eastAsia="方正黑体_GBK" w:hint="eastAsia"/>
        </w:rPr>
        <w:t>六、实施时间</w:t>
      </w:r>
    </w:p>
    <w:p>
      <w:pPr>
        <w:spacing w:line="560" w:lineRule="exact"/>
        <w:ind w:firstLineChars="200" w:firstLine="632"/>
      </w:pPr>
      <w:r>
        <w:rPr>
          <w:rFonts w:hint="eastAsia"/>
        </w:rPr>
        <w:t>在2026年度北海海关实验室仪器设备检定校准计划清单</w:t>
      </w:r>
      <w:r>
        <w:t>(</w:t>
      </w:r>
      <w:r>
        <w:rPr>
          <w:rFonts w:hint="eastAsia"/>
        </w:rPr>
        <w:t>附件2</w:t>
      </w:r>
      <w:r>
        <w:t>)</w:t>
      </w:r>
      <w:r>
        <w:rPr>
          <w:rFonts w:hint="eastAsia"/>
        </w:rPr>
        <w:t>中各仪器的校准有效期到期之前完成校准并至少提供电子版证书予以确认，可分批安排现场校准和送校</w:t>
      </w:r>
      <w:r>
        <w:t>。</w:t>
      </w:r>
    </w:p>
    <w:p>
      <w:pPr>
        <w:spacing w:line="560" w:lineRule="exact"/>
      </w:pPr>
    </w:p>
    <w:p>
      <w:pPr>
        <w:spacing w:line="560" w:lineRule="exact"/>
        <w:rPr>
          <w:rFonts w:ascii="方正黑体_GBK" w:eastAsia="方正黑体_GBK" w:hint="eastAsia"/>
        </w:rPr>
      </w:pPr>
      <w:r>
        <w:rPr>
          <w:rFonts w:ascii="方正黑体_GBK" w:eastAsia="方正黑体_GBK" w:hint="eastAsia"/>
        </w:rPr>
        <w:t>七、设备地点</w:t>
      </w:r>
    </w:p>
    <w:p>
      <w:pPr>
        <w:spacing w:line="560" w:lineRule="exact"/>
        <w:ind w:firstLineChars="200" w:firstLine="632"/>
      </w:pPr>
      <w:r>
        <w:rPr>
          <w:rFonts w:hint="eastAsia"/>
        </w:rPr>
        <w:t>北海市广东南路76号北海</w:t>
      </w:r>
      <w:r>
        <w:t>海关第二办公区、</w:t>
      </w:r>
      <w:r>
        <w:rPr>
          <w:rFonts w:hint="eastAsia"/>
        </w:rPr>
        <w:t>北海市铁山港码头现场办公楼210室</w:t>
      </w:r>
      <w:r>
        <w:t>。</w:t>
      </w:r>
    </w:p>
    <w:p>
      <w:pPr>
        <w:spacing w:line="560" w:lineRule="exact"/>
      </w:pPr>
    </w:p>
    <w:p>
      <w:pPr>
        <w:spacing w:line="560" w:lineRule="exact"/>
        <w:rPr>
          <w:rFonts w:ascii="方正黑体_GBK" w:eastAsia="方正黑体_GBK" w:hint="eastAsia"/>
        </w:rPr>
      </w:pPr>
      <w:r>
        <w:rPr>
          <w:rFonts w:ascii="方正黑体_GBK" w:eastAsia="方正黑体_GBK" w:hint="eastAsia"/>
        </w:rPr>
        <w:t>八、验收</w:t>
      </w:r>
    </w:p>
    <w:p>
      <w:pPr>
        <w:spacing w:line="560" w:lineRule="exact"/>
        <w:ind w:firstLineChars="200" w:firstLine="632"/>
      </w:pPr>
      <w:r>
        <w:t>采购人组织对收回的设备、已完成的校准结果及出具的证书实施验收。</w:t>
      </w:r>
    </w:p>
    <w:sectPr>
      <w:footerReference w:type="default" r:id="rId2"/>
      <w:type w:val="continuous"/>
      <w:pgSz w:w="11907" w:h="16840"/>
      <w:pgMar w:top="1531" w:right="1474" w:bottom="1418" w:left="1588" w:header="1814" w:footer="1474" w:gutter="0"/>
      <w:pgNumType w:start="1"/>
      <w:docGrid w:type="linesAndChars" w:linePitch="580" w:charSpace="-847"/>
    </w:sectPr>
  </w:body>
</w:document>
</file>

<file path=word/fontTable.xml><?xml version="1.0" encoding="utf-8"?>
<w:fonts xmlns:w="http://schemas.openxmlformats.org/wordprocessingml/2006/main" xmlns:r="http://schemas.openxmlformats.org/officeDocument/2006/relationships">
  <w:font w:name="方正小标宋_GBK">
    <w:panose1 w:val="00000000000000000000"/>
    <w:charset w:val="00"/>
    <w:family w:val="auto"/>
    <w:pitch w:val="variable"/>
    <w:sig w:usb0="00000000" w:usb1="00000000" w:usb2="00000000" w:usb3="00000000" w:csb0="00000000" w:csb1="00000000"/>
  </w:font>
  <w:font w:name="方正黑体_GBK">
    <w:panose1 w:val="00000000000000000000"/>
    <w:charset w:val="00"/>
    <w:family w:val="auto"/>
    <w:pitch w:val="variable"/>
    <w:sig w:usb0="00000000" w:usb1="00000000" w:usb2="00000000" w:usb3="00000000" w:csb0="00000000" w:csb1="00000000"/>
  </w:font>
  <w:font w:name="Times New Roman">
    <w:panose1 w:val="02020603050405020304"/>
    <w:charset w:val="00"/>
    <w:family w:val="auto"/>
    <w:pitch w:val="variable"/>
    <w:sig w:usb0="00000A87" w:usb1="00000000" w:usb2="00000000" w:usb3="00000000" w:csb0="400001BF" w:csb1="DFF70000"/>
  </w:font>
  <w:font w:name="宋体">
    <w:panose1 w:val="02010600030101010101"/>
    <w:charset w:val="86"/>
    <w:family w:val="auto"/>
    <w:pitch w:val="variable"/>
    <w:sig w:usb0="00000003" w:usb1="288F0000" w:usb2="00000006" w:usb3="00000000" w:csb0="00040001" w:csb1="00000000"/>
  </w:font>
  <w:font w:name="方正仿宋_GBK">
    <w:altName w:val="宋体"/>
    <w:panose1 w:val="00000000000000000000"/>
    <w:charset w:val="00"/>
    <w:family w:val="auto"/>
    <w:pitch w:val="variable"/>
    <w:sig w:usb0="00000000" w:usb1="00000000" w:usb2="00000000" w:usb3="00000000" w:csb0="00000000" w:csb1="00000000"/>
  </w:font>
  <w:font w:name="Calibri">
    <w:panose1 w:val="020F0502020204030204"/>
    <w:charset w:val="00"/>
    <w:family w:val="swiss"/>
    <w:pitch w:val="variable"/>
    <w:sig w:usb0="E00002FF" w:usb1="4000ACFF" w:usb2="00000001" w:usb3="00000000" w:csb0="2000019F" w:csb1="00000000"/>
  </w:font>
  <w:font w:name="Arial">
    <w:panose1 w:val="020B0604020202020204"/>
    <w:charset w:val="01"/>
    <w:family w:val="swiss"/>
    <w:pitch w:val="variable"/>
    <w:sig w:usb0="E0002AFF" w:usb1="C0007843" w:usb2="00000009" w:usb3="00000000" w:csb0="400001FF" w:csb1="FFFF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6"/>
      <w:tabs>
        <w:tab w:val="center" w:pos="4153"/>
        <w:tab w:val="right" w:pos="8307"/>
      </w:tabs>
      <w:jc w:val="center"/>
      <w:rPr>
        <w:sz w:val="32"/>
        <w:szCs w:val="32"/>
      </w:rPr>
    </w:pPr>
    <w:r>
      <w:rPr>
        <w:sz w:val="32"/>
        <w:szCs w:val="32"/>
      </w:rPr>
      <w:fldChar w:fldCharType="begin"/>
    </w:r>
    <w:r>
      <w:rPr>
        <w:sz w:val="32"/>
        <w:szCs w:val="32"/>
      </w:rPr>
      <w:instrText>Page</w:instrText>
    </w:r>
    <w:r>
      <w:rPr>
        <w:sz w:val="32"/>
        <w:szCs w:val="32"/>
      </w:rPr>
      <w:fldChar w:fldCharType="separate"/>
    </w:r>
    <w:r>
      <w:rPr>
        <w:sz w:val="32"/>
        <w:szCs w:val="32"/>
        <w:lang w:val="en-US" w:eastAsia="zh-CN"/>
      </w:rPr>
      <w:t>2</w:t>
    </w:r>
    <w:r>
      <w:rPr>
        <w:sz w:val="32"/>
        <w:szCs w:val="32"/>
      </w:rPr>
      <w:fldChar w:fldCharType="end"/>
    </w:r>
  </w:p>
</w:ftr>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100"/>
  <w:doNotDisplayPageBoundaries/>
  <w:displayBackgroundShape/>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growAutofit/>
    <w:useAltKinsokuLineBreakRules/>
    <w:splitPgBreakAndParaMark/>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方正仿宋_GBK" w:cs="Times New Roman" w:hAnsi="Times New Roman"/>
      <w:kern w:val="2"/>
      <w:sz w:val="32"/>
      <w:lang w:val="en-US" w:eastAsia="zh-CN" w:bidi="ar-SA"/>
    </w:rPr>
  </w:style>
  <w:style w:type="character" w:default="1" w:styleId="10">
    <w:name w:val="Default Paragraph Font"/>
  </w:style>
  <w:style w:type="paragraph" w:customStyle="1" w:styleId="15">
    <w:name w:val="样式 10 磅"/>
    <w:pPr>
      <w:widowControl w:val="0"/>
      <w:jc w:val="both"/>
    </w:pPr>
    <w:rPr>
      <w:rFonts w:ascii="Calibri" w:eastAsia="宋体" w:cs="Arial" w:hAnsi="Calibri"/>
      <w:sz w:val="21"/>
      <w:szCs w:val="22"/>
      <w:lang w:val="en-US" w:eastAsia="zh-CN" w:bidi="ar-SA"/>
    </w:rPr>
  </w:style>
  <w:style w:type="paragraph" w:customStyle="1" w:styleId="16">
    <w:name w:val="样式 1 10 磅"/>
    <w:pPr>
      <w:widowControl w:val="0"/>
      <w:jc w:val="both"/>
    </w:pPr>
    <w:rPr>
      <w:rFonts w:ascii="Calibri" w:eastAsia="宋体" w:cs="Arial" w:hAnsi="Calibri"/>
      <w:sz w:val="21"/>
      <w:szCs w:val="22"/>
      <w:lang w:val="en-US" w:eastAsia="zh-CN" w:bidi="ar-SA"/>
    </w:rPr>
  </w:style>
  <w:style w:type="paragraph" w:customStyle="1" w:styleId="17">
    <w:name w:val="样式 2 10 磅"/>
    <w:pPr>
      <w:widowControl w:val="0"/>
      <w:jc w:val="both"/>
    </w:pPr>
    <w:rPr>
      <w:rFonts w:ascii="Calibri" w:eastAsia="宋体" w:cs="Arial" w:hAnsi="Calibri"/>
      <w:sz w:val="21"/>
      <w:szCs w:val="22"/>
      <w:lang w:val="en-US" w:eastAsia="zh-CN" w:bidi="ar-SA"/>
    </w:rPr>
  </w:style>
  <w:style w:type="paragraph" w:customStyle="1" w:styleId="18">
    <w:name w:val="样式 3 10 磅"/>
    <w:pPr>
      <w:widowControl w:val="0"/>
      <w:jc w:val="both"/>
    </w:pPr>
    <w:rPr>
      <w:rFonts w:ascii="Calibri" w:eastAsia="宋体" w:cs="Arial" w:hAnsi="Calibri"/>
      <w:sz w:val="21"/>
      <w:szCs w:val="22"/>
      <w:lang w:val="en-US" w:eastAsia="zh-CN" w:bidi="ar-SA"/>
    </w:rPr>
  </w:style>
  <w:style w:type="paragraph" w:customStyle="1" w:styleId="19">
    <w:name w:val="样式 4 10 磅"/>
    <w:pPr>
      <w:widowControl w:val="0"/>
      <w:jc w:val="both"/>
    </w:pPr>
    <w:rPr>
      <w:rFonts w:ascii="Calibri" w:eastAsia="宋体" w:cs="Arial" w:hAnsi="Calibri"/>
      <w:sz w:val="21"/>
      <w:szCs w:val="22"/>
      <w:lang w:val="en-US" w:eastAsia="zh-CN" w:bidi="ar-SA"/>
    </w:rPr>
  </w:style>
  <w:style w:type="paragraph" w:customStyle="1" w:styleId="20">
    <w:name w:val="样式 5 10 磅"/>
    <w:pPr>
      <w:widowControl w:val="0"/>
      <w:jc w:val="both"/>
    </w:pPr>
    <w:rPr>
      <w:rFonts w:ascii="Calibri" w:eastAsia="宋体" w:cs="Arial" w:hAnsi="Calibri"/>
      <w:sz w:val="21"/>
      <w:szCs w:val="22"/>
      <w:lang w:val="en-US" w:eastAsia="zh-CN" w:bidi="ar-SA"/>
    </w:rPr>
  </w:style>
  <w:style w:type="paragraph" w:customStyle="1" w:styleId="21">
    <w:name w:val="样式 6 10 磅"/>
    <w:pPr>
      <w:widowControl w:val="0"/>
      <w:jc w:val="both"/>
    </w:pPr>
    <w:rPr>
      <w:rFonts w:ascii="Calibri" w:eastAsia="宋体" w:cs="Arial" w:hAnsi="Calibri"/>
      <w:sz w:val="21"/>
      <w:szCs w:val="22"/>
      <w:lang w:val="en-US" w:eastAsia="zh-CN" w:bidi="ar-SA"/>
    </w:rPr>
  </w:style>
  <w:style w:type="paragraph" w:customStyle="1" w:styleId="22">
    <w:name w:val="样式 7 10 磅"/>
    <w:pPr>
      <w:widowControl w:val="0"/>
      <w:jc w:val="both"/>
    </w:pPr>
    <w:rPr>
      <w:rFonts w:ascii="Calibri" w:eastAsia="宋体" w:cs="Arial" w:hAnsi="Calibri"/>
      <w:sz w:val="21"/>
      <w:szCs w:val="22"/>
      <w:lang w:val="en-US" w:eastAsia="zh-CN" w:bidi="ar-SA"/>
    </w:rPr>
  </w:style>
  <w:style w:type="paragraph" w:customStyle="1" w:styleId="23">
    <w:name w:val="样式 8 10 磅"/>
    <w:pPr>
      <w:widowControl w:val="0"/>
      <w:jc w:val="both"/>
    </w:pPr>
    <w:rPr>
      <w:rFonts w:ascii="Calibri" w:eastAsia="宋体" w:cs="Arial" w:hAnsi="Calibri"/>
      <w:sz w:val="21"/>
      <w:szCs w:val="22"/>
      <w:lang w:val="en-US" w:eastAsia="zh-CN" w:bidi="ar-SA"/>
    </w:rPr>
  </w:style>
  <w:style w:type="paragraph" w:customStyle="1" w:styleId="24">
    <w:name w:val="样式 三号"/>
    <w:pPr>
      <w:widowControl w:val="0"/>
      <w:spacing w:line="240" w:lineRule="auto"/>
      <w:jc w:val="both"/>
    </w:pPr>
    <w:rPr>
      <w:rFonts w:ascii="Times New Roman" w:eastAsia="方正仿宋_GBK" w:cs="Times New Roman" w:hAnsi="Times New Roman"/>
      <w:kern w:val="2"/>
      <w:sz w:val="32"/>
      <w:lang w:val="en-US" w:eastAsia="zh-CN" w:bidi="ar-SA"/>
    </w:rPr>
  </w:style>
  <w:style w:type="paragraph" w:customStyle="1" w:styleId="25">
    <w:name w:val="样式 1 三号"/>
    <w:pPr>
      <w:widowControl w:val="0"/>
      <w:spacing w:line="240" w:lineRule="auto"/>
      <w:jc w:val="both"/>
    </w:pPr>
    <w:rPr>
      <w:rFonts w:ascii="Times New Roman" w:eastAsia="方正仿宋_GBK" w:cs="Times New Roman" w:hAnsi="Times New Roman"/>
      <w:kern w:val="2"/>
      <w:sz w:val="32"/>
      <w:lang w:val="en-US" w:eastAsia="zh-CN" w:bidi="ar-SA"/>
    </w:rPr>
  </w:style>
  <w:style w:type="paragraph" w:customStyle="1" w:styleId="26">
    <w:name w:val="样式 2 三号"/>
    <w:pPr>
      <w:widowControl w:val="0"/>
      <w:spacing w:line="240" w:lineRule="auto"/>
      <w:jc w:val="both"/>
    </w:pPr>
    <w:rPr>
      <w:rFonts w:ascii="Times New Roman" w:eastAsia="方正仿宋_GBK" w:cs="Times New Roman" w:hAnsi="Times New Roman"/>
      <w:kern w:val="2"/>
      <w:sz w:val="32"/>
      <w:lang w:val="en-US" w:eastAsia="zh-CN" w:bidi="ar-SA"/>
    </w:rPr>
  </w:style>
  <w:style w:type="paragraph" w:customStyle="1" w:styleId="27">
    <w:name w:val="样式 3 三号"/>
    <w:pPr>
      <w:widowControl w:val="0"/>
      <w:spacing w:line="240" w:lineRule="auto"/>
      <w:jc w:val="both"/>
    </w:pPr>
    <w:rPr>
      <w:rFonts w:ascii="Times New Roman" w:eastAsia="方正仿宋_GBK" w:cs="Times New Roman" w:hAnsi="Times New Roman"/>
      <w:kern w:val="2"/>
      <w:sz w:val="32"/>
      <w:lang w:val="en-US" w:eastAsia="zh-CN" w:bidi="ar-SA"/>
    </w:rPr>
  </w:style>
  <w:style w:type="paragraph" w:customStyle="1" w:styleId="28">
    <w:name w:val="样式 4 三号"/>
    <w:pPr>
      <w:widowControl w:val="0"/>
      <w:spacing w:line="240" w:lineRule="auto"/>
      <w:jc w:val="both"/>
    </w:pPr>
    <w:rPr>
      <w:rFonts w:ascii="Times New Roman" w:eastAsia="方正仿宋_GBK" w:cs="Times New Roman" w:hAnsi="Times New Roman"/>
      <w:kern w:val="2"/>
      <w:sz w:val="32"/>
      <w:lang w:val="en-US" w:eastAsia="zh-CN" w:bidi="ar-SA"/>
    </w:rPr>
  </w:style>
  <w:style w:type="paragraph" w:customStyle="1" w:styleId="29">
    <w:name w:val="样式 5 三号"/>
    <w:pPr>
      <w:widowControl w:val="0"/>
      <w:spacing w:line="240" w:lineRule="auto"/>
      <w:jc w:val="both"/>
    </w:pPr>
    <w:rPr>
      <w:rFonts w:ascii="Times New Roman" w:eastAsia="方正仿宋_GBK" w:cs="Times New Roman" w:hAnsi="Times New Roman"/>
      <w:kern w:val="2"/>
      <w:sz w:val="32"/>
      <w:lang w:val="en-US" w:eastAsia="zh-CN" w:bidi="ar-SA"/>
    </w:rPr>
  </w:style>
  <w:style w:type="paragraph" w:customStyle="1" w:styleId="30">
    <w:name w:val="样式 6 三号"/>
    <w:pPr>
      <w:widowControl w:val="0"/>
      <w:spacing w:line="240" w:lineRule="auto"/>
      <w:jc w:val="both"/>
    </w:pPr>
    <w:rPr>
      <w:rFonts w:ascii="Times New Roman" w:eastAsia="方正仿宋_GBK" w:cs="Times New Roman" w:hAnsi="Times New Roman"/>
      <w:kern w:val="2"/>
      <w:sz w:val="32"/>
      <w:lang w:val="en-US" w:eastAsia="zh-CN" w:bidi="ar-SA"/>
    </w:rPr>
  </w:style>
  <w:style w:type="paragraph" w:customStyle="1" w:styleId="31">
    <w:name w:val="样式 7 三号"/>
    <w:pPr>
      <w:widowControl w:val="0"/>
      <w:spacing w:line="240" w:lineRule="auto"/>
      <w:jc w:val="both"/>
    </w:pPr>
    <w:rPr>
      <w:rFonts w:ascii="Times New Roman" w:eastAsia="方正仿宋_GBK" w:cs="Times New Roman" w:hAnsi="Times New Roman"/>
      <w:kern w:val="2"/>
      <w:sz w:val="32"/>
      <w:lang w:val="en-US" w:eastAsia="zh-CN" w:bidi="ar-SA"/>
    </w:rPr>
  </w:style>
  <w:style w:type="paragraph" w:customStyle="1" w:styleId="32">
    <w:name w:val="样式 8 三号"/>
    <w:pPr>
      <w:widowControl w:val="0"/>
      <w:spacing w:line="240" w:lineRule="auto"/>
      <w:jc w:val="both"/>
    </w:pPr>
    <w:rPr>
      <w:rFonts w:ascii="Times New Roman" w:eastAsia="方正仿宋_GBK" w:cs="Times New Roman" w:hAnsi="Times New Roman"/>
      <w:kern w:val="2"/>
      <w:sz w:val="32"/>
      <w:lang w:val="en-US" w:eastAsia="zh-CN" w:bidi="ar-SA"/>
    </w:rPr>
  </w:style>
  <w:style w:type="paragraph" w:customStyle="1" w:styleId="33">
    <w:name w:val="样式 9 三号"/>
    <w:pPr>
      <w:widowControl w:val="0"/>
      <w:spacing w:line="240" w:lineRule="auto"/>
      <w:jc w:val="both"/>
    </w:pPr>
    <w:rPr>
      <w:rFonts w:ascii="Times New Roman" w:eastAsia="方正仿宋_GBK" w:cs="Times New Roman" w:hAnsi="Times New Roman"/>
      <w:kern w:val="2"/>
      <w:sz w:val="32"/>
      <w:lang w:val="en-US" w:eastAsia="zh-CN" w:bidi="ar-SA"/>
    </w:rPr>
  </w:style>
  <w:style w:type="paragraph" w:customStyle="1" w:styleId="34">
    <w:name w:val="样式 10 三号"/>
    <w:pPr>
      <w:widowControl w:val="0"/>
      <w:spacing w:line="240" w:lineRule="auto"/>
      <w:jc w:val="both"/>
    </w:pPr>
    <w:rPr>
      <w:rFonts w:ascii="Times New Roman" w:eastAsia="方正仿宋_GBK" w:cs="Times New Roman" w:hAnsi="Times New Roman"/>
      <w:kern w:val="2"/>
      <w:sz w:val="32"/>
      <w:lang w:val="en-US" w:eastAsia="zh-CN" w:bidi="ar-SA"/>
    </w:rPr>
  </w:style>
  <w:style w:type="paragraph" w:customStyle="1" w:styleId="35">
    <w:name w:val="样式 11 三号"/>
    <w:pPr>
      <w:widowControl w:val="0"/>
      <w:spacing w:line="240" w:lineRule="auto"/>
      <w:jc w:val="both"/>
    </w:pPr>
    <w:rPr>
      <w:rFonts w:ascii="Times New Roman" w:eastAsia="方正仿宋_GBK" w:cs="Times New Roman" w:hAnsi="Times New Roman"/>
      <w:kern w:val="2"/>
      <w:sz w:val="32"/>
      <w:lang w:val="en-US" w:eastAsia="zh-CN" w:bidi="ar-SA"/>
    </w:rPr>
  </w:style>
  <w:style w:type="paragraph" w:styleId="36">
    <w:name w:val="footer"/>
    <w:next w:val="16"/>
    <w:pPr>
      <w:widowControl w:val="0"/>
      <w:tabs>
        <w:tab w:val="center" w:pos="4153"/>
        <w:tab w:val="right" w:pos="8307"/>
      </w:tabs>
      <w:snapToGrid w:val="0"/>
      <w:jc w:val="left"/>
    </w:pPr>
    <w:rPr>
      <w:rFonts w:ascii="Times New Roman" w:eastAsia="方正仿宋_GBK" w:cs="Times New Roman" w:hAnsi="Times New Roman"/>
      <w:kern w:val="2"/>
      <w:sz w:val="18"/>
      <w:lang w:val="en-US" w:eastAsia="zh-CN" w:bidi="ar-SA"/>
    </w:rPr>
  </w:style>
  <w:style w:type="paragraph" w:customStyle="1" w:styleId="37">
    <w:name w:val="样式 12 三号"/>
    <w:pPr>
      <w:widowControl w:val="0"/>
      <w:jc w:val="both"/>
    </w:pPr>
    <w:rPr>
      <w:rFonts w:ascii="Times New Roman" w:eastAsia="方正仿宋_GBK" w:cs="Times New Roman" w:hAnsi="Times New Roman"/>
      <w:kern w:val="2"/>
      <w:sz w:val="32"/>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oter" Target="footer1.xml"/><Relationship Id="rId3" Type="http://schemas.openxmlformats.org/officeDocument/2006/relationships/styles" Target="styles.xml"/><Relationship Id="rId4" Type="http://schemas.openxmlformats.org/officeDocument/2006/relationships/fontTable" Target="fontTable.xml"/></Relationships>
</file>

<file path=docProps/app.xml><?xml version="1.0" encoding="utf-8"?>
<Properties xmlns="http://schemas.openxmlformats.org/officeDocument/2006/extended-properties">
  <Template>Normal.eit</Template>
  <TotalTime>114</TotalTime>
  <Application>Yozo_Office</Application>
  <Pages>2</Pages>
  <Words>707</Words>
  <Characters>724</Characters>
  <Lines>47</Lines>
  <Paragraphs>21</Paragraphs>
  <CharactersWithSpaces>728</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title>wordbuilder</dc:title>
  <dc:creator>INTSIG</dc:creator>
  <dc:description>Intsig Word Converter</dc:description>
  <cp:lastModifiedBy>利奇琪</cp:lastModifiedBy>
  <cp:revision>0</cp:revision>
  <cp:lastPrinted>2026-03-19T09:27:40Z</cp:lastPrinted>
  <dcterms:created xsi:type="dcterms:W3CDTF">2026-01-12T03:55:00Z</dcterms:created>
  <dcterms:modified xsi:type="dcterms:W3CDTF">2026-03-31T01:22:49Z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TemplateDocerSaveRecord">
    <vt:lpwstr>eyJoZGlkIjoiY2NiYWY1YTZmMzA4MTdiZmMyZTc4OTlmNTQzMjAwOTgiLCJ1c2VySWQiOiI2NjQzNjY1ODAifQ==</vt:lpwstr>
  </property>
  <property fmtid="{D5CDD505-2E9C-101B-9397-08002B2CF9AE}" pid="3" name="KSOProductBuildVer">
    <vt:lpwstr>2052-12.1.0.24034</vt:lpwstr>
  </property>
  <property fmtid="{D5CDD505-2E9C-101B-9397-08002B2CF9AE}" pid="4" name="ICV">
    <vt:lpwstr>09DCB9A99A1C43CCB71813B0F8305891_13</vt:lpwstr>
  </property>
</Properties>
</file>