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widowControl/>
        <w:spacing w:line="480" w:lineRule="atLeast"/>
        <w:jc w:val="center"/>
        <w:rPr>
          <w:rFonts w:ascii="方正黑体_GBK" w:eastAsia="方正黑体_GBK" w:cs="宋体"/>
          <w:b/>
          <w:bCs/>
          <w:kern w:val="0"/>
          <w:sz w:val="32"/>
          <w:szCs w:val="32"/>
        </w:rPr>
      </w:pPr>
      <w:bookmarkStart w:id="0" w:name="_GoBack"/>
      <w:bookmarkEnd w:id="0"/>
      <w:r>
        <w:rPr>
          <w:rFonts w:ascii="方正黑体_GBK" w:eastAsia="方正黑体_GBK" w:cs="宋体" w:hint="eastAsia"/>
          <w:b/>
          <w:bCs/>
          <w:kern w:val="0"/>
          <w:sz w:val="32"/>
          <w:szCs w:val="32"/>
        </w:rPr>
        <w:t>龙邦海关缉私分局202</w:t>
      </w:r>
      <w:r>
        <w:rPr>
          <w:rFonts w:ascii="方正黑体_GBK" w:eastAsia="方正黑体_GBK" w:cs="宋体"/>
          <w:b/>
          <w:bCs/>
          <w:kern w:val="0"/>
          <w:sz w:val="32"/>
          <w:szCs w:val="32"/>
        </w:rPr>
        <w:t>6</w:t>
      </w:r>
      <w:r>
        <w:rPr>
          <w:rFonts w:ascii="方正黑体_GBK" w:eastAsia="方正黑体_GBK" w:cs="宋体" w:hint="eastAsia"/>
          <w:b/>
          <w:bCs/>
          <w:kern w:val="0"/>
          <w:sz w:val="32"/>
          <w:szCs w:val="32"/>
        </w:rPr>
        <w:t>年度公务车辆定点维修保养服务</w:t>
      </w:r>
    </w:p>
    <w:p>
      <w:pPr>
        <w:widowControl/>
        <w:spacing w:line="480" w:lineRule="atLeast"/>
        <w:jc w:val="center"/>
        <w:rPr>
          <w:rFonts w:ascii="方正黑体_GBK" w:eastAsia="方正黑体_GBK" w:cs="宋体"/>
          <w:b/>
          <w:bCs/>
          <w:kern w:val="0"/>
          <w:sz w:val="32"/>
          <w:szCs w:val="32"/>
        </w:rPr>
      </w:pPr>
      <w:r>
        <w:rPr>
          <w:rFonts w:ascii="方正黑体_GBK" w:eastAsia="方正黑体_GBK" w:cs="宋体" w:hint="eastAsia"/>
          <w:b/>
          <w:bCs/>
          <w:kern w:val="0"/>
          <w:sz w:val="32"/>
          <w:szCs w:val="32"/>
        </w:rPr>
        <w:t>采购需求</w:t>
      </w:r>
    </w:p>
    <w:p>
      <w:pPr>
        <w:widowControl/>
        <w:spacing w:line="480" w:lineRule="atLeast"/>
        <w:jc w:val="left"/>
        <w:rPr>
          <w:rFonts w:ascii="方正仿宋_GBK" w:eastAsia="方正仿宋_GBK" w:cs="宋体"/>
          <w:kern w:val="0"/>
          <w:sz w:val="32"/>
          <w:szCs w:val="32"/>
        </w:rPr>
      </w:pPr>
      <w:r>
        <w:rPr>
          <w:rFonts w:ascii="方正仿宋_GBK" w:eastAsia="方正仿宋_GBK" w:cs="宋体" w:hint="eastAsia"/>
          <w:b/>
          <w:bCs/>
          <w:kern w:val="0"/>
          <w:sz w:val="32"/>
          <w:szCs w:val="32"/>
        </w:rPr>
        <w:t xml:space="preserve">    一、项目名称</w:t>
      </w:r>
      <w:r>
        <w:rPr>
          <w:rFonts w:ascii="方正仿宋_GBK" w:eastAsia="方正仿宋_GBK" w:cs="宋体" w:hint="eastAsia"/>
          <w:kern w:val="0"/>
          <w:sz w:val="32"/>
          <w:szCs w:val="32"/>
        </w:rPr>
        <w:t>：龙邦海关缉私分局202</w:t>
      </w:r>
      <w:r>
        <w:rPr>
          <w:rFonts w:ascii="方正仿宋_GBK" w:eastAsia="方正仿宋_GBK" w:cs="宋体"/>
          <w:kern w:val="0"/>
          <w:sz w:val="32"/>
          <w:szCs w:val="32"/>
        </w:rPr>
        <w:t>6</w:t>
      </w:r>
      <w:r>
        <w:rPr>
          <w:rFonts w:ascii="方正仿宋_GBK" w:eastAsia="方正仿宋_GBK" w:cs="宋体" w:hint="eastAsia"/>
          <w:kern w:val="0"/>
          <w:sz w:val="32"/>
          <w:szCs w:val="32"/>
        </w:rPr>
        <w:t xml:space="preserve">年度公务车辆定点维修保养服务 </w:t>
      </w:r>
    </w:p>
    <w:p>
      <w:pPr>
        <w:pStyle w:val="17"/>
        <w:widowControl/>
        <w:shd w:val="clear" w:color="auto" w:fill="FFFFFF"/>
        <w:spacing w:before="225" w:beforeAutospacing="0" w:after="150" w:afterAutospacing="0" w:line="500" w:lineRule="exact"/>
        <w:rPr>
          <w:rFonts w:ascii="方正仿宋_GBK" w:eastAsia="方正仿宋_GBK" w:cs="宋体"/>
          <w:sz w:val="28"/>
          <w:szCs w:val="28"/>
          <w:shd w:val="clear" w:color="auto" w:fill="FFFFFF"/>
        </w:rPr>
      </w:pPr>
      <w:r>
        <w:rPr>
          <w:rFonts w:ascii="方正仿宋_GBK" w:eastAsia="方正仿宋_GBK" w:cs="宋体" w:hint="eastAsia"/>
          <w:b/>
          <w:bCs/>
          <w:kern w:val="0"/>
          <w:sz w:val="32"/>
          <w:szCs w:val="32"/>
        </w:rPr>
        <w:t xml:space="preserve">    二、项目预算：</w:t>
      </w:r>
      <w:r>
        <w:rPr>
          <w:rFonts w:ascii="方正仿宋_GBK" w:eastAsia="方正仿宋_GBK" w:cs="宋体" w:hint="eastAsia"/>
          <w:bCs/>
          <w:kern w:val="0"/>
          <w:sz w:val="32"/>
          <w:szCs w:val="32"/>
        </w:rPr>
        <w:t xml:space="preserve"> 8万元</w:t>
      </w:r>
      <w:r>
        <w:rPr>
          <w:rFonts w:ascii="方正仿宋_GBK" w:eastAsia="方正仿宋_GBK" w:cs="宋体" w:hint="eastAsia"/>
          <w:sz w:val="30"/>
          <w:szCs w:val="30"/>
          <w:shd w:val="clear" w:color="auto" w:fill="FFFFFF"/>
        </w:rPr>
        <w:t>（具体结算金额以车辆实际维修保养产生费用核算为准）。</w:t>
      </w:r>
    </w:p>
    <w:p>
      <w:pPr>
        <w:widowControl/>
        <w:spacing w:line="480" w:lineRule="atLeast"/>
        <w:jc w:val="left"/>
        <w:rPr>
          <w:rFonts w:ascii="方正黑体_GBK" w:eastAsia="方正黑体_GBK" w:cs="宋体"/>
          <w:kern w:val="0"/>
          <w:sz w:val="32"/>
          <w:szCs w:val="32"/>
        </w:rPr>
      </w:pPr>
      <w:r>
        <w:rPr>
          <w:rFonts w:ascii="方正仿宋_GBK" w:eastAsia="方正仿宋_GBK" w:cs="宋体" w:hint="eastAsia"/>
          <w:b/>
          <w:bCs/>
          <w:kern w:val="0"/>
          <w:sz w:val="32"/>
          <w:szCs w:val="32"/>
        </w:rPr>
        <w:t xml:space="preserve">     三、采购需求</w:t>
      </w:r>
      <w:r>
        <w:rPr>
          <w:rFonts w:ascii="方正仿宋_GBK" w:eastAsia="方正仿宋_GBK" w:cs="宋体" w:hint="eastAsia"/>
          <w:kern w:val="0"/>
          <w:sz w:val="32"/>
          <w:szCs w:val="32"/>
        </w:rPr>
        <w:t>：</w:t>
      </w:r>
    </w:p>
    <w:p>
      <w:pPr>
        <w:pStyle w:val="18"/>
        <w:widowControl/>
        <w:spacing w:line="480" w:lineRule="atLeast"/>
        <w:ind w:leftChars="76" w:left="160"/>
        <w:rPr>
          <w:rFonts w:ascii="方正仿宋_GBK" w:eastAsia="方正仿宋_GBK" w:cs="宋体"/>
          <w:kern w:val="0"/>
          <w:sz w:val="32"/>
          <w:szCs w:val="32"/>
        </w:rPr>
      </w:pPr>
      <w:r>
        <w:rPr>
          <w:rFonts w:ascii="方正仿宋_GBK" w:eastAsia="方正仿宋_GBK" w:cs="宋体" w:hint="eastAsia"/>
          <w:kern w:val="0"/>
          <w:sz w:val="32"/>
          <w:szCs w:val="32"/>
        </w:rPr>
        <w:t xml:space="preserve">    </w:t>
      </w:r>
      <w:r>
        <w:rPr>
          <w:rFonts w:ascii="方正仿宋_GBK" w:eastAsia="方正仿宋_GBK" w:cs="宋体"/>
          <w:kern w:val="0"/>
          <w:sz w:val="32"/>
          <w:szCs w:val="32"/>
        </w:rPr>
        <w:t>按照</w:t>
      </w:r>
      <w:r>
        <w:rPr>
          <w:rFonts w:ascii="方正仿宋_GBK" w:eastAsia="方正仿宋_GBK" w:cs="宋体" w:hint="eastAsia"/>
          <w:kern w:val="0"/>
          <w:sz w:val="32"/>
          <w:szCs w:val="32"/>
        </w:rPr>
        <w:t>《南宁海关缉私局公务用车管理办法》等</w:t>
      </w:r>
      <w:r>
        <w:rPr>
          <w:rFonts w:ascii="方正仿宋_GBK" w:eastAsia="方正仿宋_GBK" w:cs="宋体"/>
          <w:kern w:val="0"/>
          <w:sz w:val="32"/>
          <w:szCs w:val="32"/>
        </w:rPr>
        <w:t>相关规定和要求，</w:t>
      </w:r>
      <w:r>
        <w:rPr>
          <w:rFonts w:ascii="方正仿宋_GBK" w:eastAsia="方正仿宋_GBK" w:cs="宋体" w:hint="eastAsia"/>
          <w:kern w:val="0"/>
          <w:sz w:val="32"/>
          <w:szCs w:val="32"/>
        </w:rPr>
        <w:t>本着节约、择优、就近的原则，选择2</w:t>
      </w:r>
      <w:r>
        <w:rPr>
          <w:rFonts w:ascii="方正仿宋_GBK" w:eastAsia="方正仿宋_GBK" w:cs="宋体"/>
          <w:kern w:val="0"/>
          <w:sz w:val="32"/>
          <w:szCs w:val="32"/>
        </w:rPr>
        <w:t>家</w:t>
      </w:r>
      <w:r>
        <w:rPr>
          <w:rFonts w:ascii="方正仿宋_GBK" w:eastAsia="方正仿宋_GBK" w:cs="宋体" w:hint="eastAsia"/>
          <w:kern w:val="0"/>
          <w:sz w:val="32"/>
          <w:szCs w:val="32"/>
        </w:rPr>
        <w:t>供应商，服务时间为签订合同之日起1年</w:t>
      </w:r>
      <w:r>
        <w:rPr>
          <w:rFonts w:ascii="方正仿宋_GBK" w:eastAsia="方正仿宋_GBK" w:cs="宋体"/>
          <w:kern w:val="0"/>
          <w:sz w:val="32"/>
          <w:szCs w:val="32"/>
        </w:rPr>
        <w:t>。</w:t>
      </w:r>
    </w:p>
    <w:p>
      <w:pPr>
        <w:pStyle w:val="18"/>
        <w:widowControl/>
        <w:spacing w:line="480" w:lineRule="atLeast"/>
        <w:ind w:leftChars="76" w:left="160" w:firstLineChars="150" w:firstLine="480"/>
        <w:rPr>
          <w:rFonts w:ascii="方正仿宋_GBK" w:eastAsia="方正仿宋_GBK" w:cs="宋体"/>
          <w:kern w:val="0"/>
          <w:sz w:val="32"/>
          <w:szCs w:val="32"/>
        </w:rPr>
      </w:pPr>
      <w:r>
        <w:rPr>
          <w:rFonts w:ascii="方正仿宋_GBK" w:eastAsia="方正仿宋_GBK" w:cs="宋体"/>
          <w:b/>
          <w:bCs/>
          <w:kern w:val="0"/>
          <w:sz w:val="32"/>
          <w:szCs w:val="32"/>
        </w:rPr>
        <w:t>（一）</w:t>
      </w:r>
      <w:r>
        <w:rPr>
          <w:rFonts w:ascii="方正仿宋_GBK" w:eastAsia="方正仿宋_GBK" w:cs="宋体" w:hint="eastAsia"/>
          <w:b/>
          <w:bCs/>
          <w:kern w:val="0"/>
          <w:sz w:val="32"/>
          <w:szCs w:val="32"/>
        </w:rPr>
        <w:t>资质要求:</w:t>
      </w:r>
    </w:p>
    <w:p>
      <w:pPr>
        <w:pStyle w:val="18"/>
        <w:widowControl/>
        <w:spacing w:line="480" w:lineRule="atLeast"/>
        <w:ind w:firstLineChars="200" w:firstLine="640"/>
        <w:rPr>
          <w:rFonts w:ascii="方正仿宋_GBK" w:eastAsia="方正仿宋_GBK" w:cs="宋体" w:hint="eastAsia"/>
          <w:kern w:val="0"/>
          <w:sz w:val="32"/>
          <w:szCs w:val="32"/>
        </w:rPr>
      </w:pPr>
      <w:r>
        <w:rPr>
          <w:rFonts w:ascii="方正仿宋_GBK" w:eastAsia="方正仿宋_GBK" w:cs="宋体" w:hint="eastAsia"/>
          <w:kern w:val="0"/>
          <w:sz w:val="32"/>
          <w:szCs w:val="32"/>
        </w:rPr>
        <w:t xml:space="preserve">1、具有独立承担民事责任的能力，在工商部门允许的经营范围内； </w:t>
        <w:br/>
        <w:t xml:space="preserve">　　2、具备机动车辆维修资质，并在年检合格有效期内的机动车维修企业（在营业执照能体现）； </w:t>
        <w:br/>
        <w:t>　　3、经营场所位于百色市靖西市城区内，且在百色市辖区注册（在营业执照能体现）；</w:t>
      </w:r>
    </w:p>
    <w:p>
      <w:pPr>
        <w:pStyle w:val="18"/>
        <w:widowControl/>
        <w:spacing w:line="480" w:lineRule="atLeast"/>
        <w:ind w:firstLineChars="200" w:firstLine="640"/>
        <w:rPr>
          <w:rFonts w:ascii="方正仿宋_GBK" w:eastAsia="方正仿宋_GBK" w:cs="宋体"/>
          <w:kern w:val="0"/>
          <w:sz w:val="32"/>
          <w:szCs w:val="32"/>
        </w:rPr>
      </w:pPr>
      <w:r>
        <w:rPr>
          <w:rFonts w:ascii="方正仿宋_GBK" w:eastAsia="方正仿宋_GBK" w:cs="宋体" w:hint="eastAsia"/>
          <w:sz w:val="32"/>
          <w:szCs w:val="32"/>
        </w:rPr>
        <w:t>4、</w:t>
      </w:r>
      <w:r>
        <w:rPr>
          <w:rFonts w:ascii="方正仿宋_GBK" w:eastAsia="方正仿宋_GBK" w:cs="宋体" w:hint="eastAsia"/>
          <w:kern w:val="0"/>
          <w:sz w:val="32"/>
          <w:szCs w:val="32"/>
        </w:rPr>
        <w:t>具有履行合同所必需的设备和专业技术能力。</w:t>
      </w:r>
    </w:p>
    <w:p>
      <w:pPr>
        <w:pStyle w:val="18"/>
        <w:widowControl/>
        <w:spacing w:line="480" w:lineRule="atLeast"/>
        <w:ind w:firstLineChars="200" w:firstLine="640"/>
        <w:rPr>
          <w:rFonts w:ascii="方正仿宋_GBK" w:eastAsia="方正仿宋_GBK" w:cs="宋体"/>
          <w:sz w:val="30"/>
          <w:szCs w:val="30"/>
          <w:shd w:val="clear" w:color="auto" w:fill="FFFFFF"/>
        </w:rPr>
      </w:pPr>
      <w:r>
        <w:rPr>
          <w:rFonts w:ascii="方正仿宋_GBK" w:eastAsia="方正仿宋_GBK" w:cs="宋体" w:hint="eastAsia"/>
          <w:sz w:val="32"/>
          <w:szCs w:val="32"/>
        </w:rPr>
        <w:t>5、具有良好的商业信誉和健全的财务会计制度。</w:t>
      </w:r>
    </w:p>
    <w:p>
      <w:pPr>
        <w:pStyle w:val="18"/>
        <w:widowControl/>
        <w:spacing w:line="480" w:lineRule="atLeast"/>
        <w:ind w:leftChars="76" w:left="160" w:firstLineChars="150" w:firstLine="480"/>
        <w:rPr>
          <w:rFonts w:ascii="方正仿宋_GBK" w:eastAsia="方正仿宋_GBK" w:cs="宋体"/>
          <w:b/>
          <w:bCs/>
          <w:kern w:val="0"/>
          <w:sz w:val="32"/>
          <w:szCs w:val="32"/>
        </w:rPr>
      </w:pPr>
      <w:r>
        <w:rPr>
          <w:rFonts w:ascii="方正仿宋_GBK" w:eastAsia="方正仿宋_GBK" w:cs="宋体"/>
          <w:b/>
          <w:bCs/>
          <w:kern w:val="0"/>
          <w:sz w:val="32"/>
          <w:szCs w:val="32"/>
        </w:rPr>
        <w:t>（二）具备以下</w:t>
      </w:r>
      <w:r>
        <w:rPr>
          <w:rFonts w:ascii="方正仿宋_GBK" w:eastAsia="方正仿宋_GBK" w:cs="宋体" w:hint="eastAsia"/>
          <w:b/>
          <w:bCs/>
          <w:kern w:val="0"/>
          <w:sz w:val="32"/>
          <w:szCs w:val="32"/>
        </w:rPr>
        <w:t>服务</w:t>
      </w:r>
      <w:r>
        <w:rPr>
          <w:rFonts w:ascii="方正仿宋_GBK" w:eastAsia="方正仿宋_GBK" w:cs="宋体"/>
          <w:b/>
          <w:bCs/>
          <w:kern w:val="0"/>
          <w:sz w:val="32"/>
          <w:szCs w:val="32"/>
        </w:rPr>
        <w:t>条件</w:t>
      </w:r>
      <w:r>
        <w:rPr>
          <w:rFonts w:ascii="方正仿宋_GBK" w:eastAsia="方正仿宋_GBK" w:cs="宋体" w:hint="eastAsia"/>
          <w:b/>
          <w:bCs/>
          <w:kern w:val="0"/>
          <w:sz w:val="32"/>
          <w:szCs w:val="32"/>
        </w:rPr>
        <w:t>：</w:t>
      </w:r>
    </w:p>
    <w:p>
      <w:pPr>
        <w:pStyle w:val="18"/>
        <w:widowControl/>
        <w:spacing w:line="480" w:lineRule="atLeast"/>
        <w:ind w:firstLineChars="200" w:firstLine="640"/>
        <w:rPr>
          <w:rFonts w:ascii="方正仿宋_GBK" w:eastAsia="方正仿宋_GBK" w:cs="宋体"/>
          <w:kern w:val="0"/>
          <w:sz w:val="32"/>
          <w:szCs w:val="32"/>
        </w:rPr>
      </w:pPr>
      <w:r>
        <w:rPr>
          <w:rFonts w:ascii="方正仿宋_GBK" w:eastAsia="方正仿宋_GBK" w:cs="宋体" w:hint="eastAsia"/>
          <w:kern w:val="0"/>
          <w:sz w:val="32"/>
          <w:szCs w:val="32"/>
        </w:rPr>
        <w:t>1、提供每天24小时维修服务保障，设立应急电话，实行24小时专人值班制度；</w:t>
      </w:r>
    </w:p>
    <w:p>
      <w:pPr>
        <w:pStyle w:val="18"/>
        <w:widowControl/>
        <w:spacing w:line="480" w:lineRule="atLeast"/>
        <w:ind w:firstLineChars="200" w:firstLine="640"/>
        <w:rPr>
          <w:rFonts w:ascii="方正仿宋_GBK" w:eastAsia="方正仿宋_GBK" w:cs="宋体"/>
          <w:kern w:val="0"/>
          <w:sz w:val="32"/>
          <w:szCs w:val="32"/>
        </w:rPr>
      </w:pPr>
      <w:r>
        <w:rPr>
          <w:rFonts w:ascii="方正仿宋_GBK" w:eastAsia="方正仿宋_GBK" w:cs="宋体" w:hint="eastAsia"/>
          <w:kern w:val="0"/>
          <w:sz w:val="32"/>
          <w:szCs w:val="32"/>
        </w:rPr>
        <w:t>2、24小时免费且2小时内到达现场紧急救援；</w:t>
      </w:r>
    </w:p>
    <w:p>
      <w:pPr>
        <w:pStyle w:val="18"/>
        <w:widowControl/>
        <w:spacing w:line="480" w:lineRule="atLeast"/>
        <w:ind w:firstLineChars="200" w:firstLine="640"/>
        <w:rPr>
          <w:rFonts w:ascii="方正仿宋_GBK" w:eastAsia="方正仿宋_GBK" w:cs="宋体"/>
          <w:kern w:val="0"/>
          <w:sz w:val="32"/>
          <w:szCs w:val="32"/>
        </w:rPr>
      </w:pPr>
      <w:r>
        <w:rPr>
          <w:rFonts w:ascii="方正仿宋_GBK" w:eastAsia="方正仿宋_GBK" w:cs="宋体" w:hint="eastAsia"/>
          <w:kern w:val="0"/>
          <w:sz w:val="32"/>
          <w:szCs w:val="32"/>
        </w:rPr>
        <w:t>3、应采购人的要求提供免费上门接送故障车辆服务；</w:t>
      </w:r>
    </w:p>
    <w:p>
      <w:pPr>
        <w:pStyle w:val="18"/>
        <w:widowControl/>
        <w:spacing w:line="480" w:lineRule="atLeast"/>
        <w:ind w:firstLineChars="200" w:firstLine="640"/>
        <w:rPr>
          <w:rFonts w:ascii="方正仿宋_GBK" w:eastAsia="方正仿宋_GBK" w:cs="宋体"/>
          <w:kern w:val="0"/>
          <w:sz w:val="32"/>
          <w:szCs w:val="32"/>
        </w:rPr>
      </w:pPr>
      <w:r>
        <w:rPr>
          <w:rFonts w:ascii="方正仿宋_GBK" w:eastAsia="方正仿宋_GBK" w:cs="宋体" w:hint="eastAsia"/>
          <w:kern w:val="0"/>
          <w:sz w:val="32"/>
          <w:szCs w:val="32"/>
        </w:rPr>
        <w:t>4、建立车辆详细维修档案，提供日常免费保养和技术咨询培训服务，确保车辆具有良好状况；</w:t>
      </w:r>
    </w:p>
    <w:p>
      <w:pPr>
        <w:pStyle w:val="18"/>
        <w:widowControl/>
        <w:spacing w:line="480" w:lineRule="atLeast"/>
        <w:ind w:firstLineChars="200" w:firstLine="640"/>
        <w:rPr>
          <w:rFonts w:ascii="方正仿宋_GBK" w:eastAsia="方正仿宋_GBK" w:cs="宋体"/>
          <w:kern w:val="0"/>
          <w:sz w:val="32"/>
          <w:szCs w:val="32"/>
        </w:rPr>
      </w:pPr>
      <w:r>
        <w:rPr>
          <w:rFonts w:ascii="方正仿宋_GBK" w:eastAsia="方正仿宋_GBK" w:cs="宋体" w:hint="eastAsia"/>
          <w:kern w:val="0"/>
          <w:sz w:val="32"/>
          <w:szCs w:val="32"/>
        </w:rPr>
        <w:t>5、所采用的零配件等材料必须符合国家或部颁标准和行业标准以及汽车维修相关标准；</w:t>
      </w:r>
    </w:p>
    <w:p>
      <w:pPr>
        <w:pStyle w:val="18"/>
        <w:widowControl/>
        <w:spacing w:line="480" w:lineRule="atLeast"/>
        <w:ind w:firstLineChars="200" w:firstLine="640"/>
        <w:rPr>
          <w:rFonts w:ascii="方正仿宋_GBK" w:eastAsia="方正仿宋_GBK" w:cs="宋体"/>
          <w:kern w:val="0"/>
          <w:sz w:val="32"/>
          <w:szCs w:val="32"/>
        </w:rPr>
      </w:pPr>
      <w:r>
        <w:rPr>
          <w:rFonts w:ascii="方正仿宋_GBK" w:eastAsia="方正仿宋_GBK" w:cs="宋体" w:hint="eastAsia"/>
          <w:kern w:val="0"/>
          <w:sz w:val="32"/>
          <w:szCs w:val="32"/>
        </w:rPr>
        <w:t>6、为完工出厂车辆提供免费清洁、吸尘服务等。</w:t>
      </w:r>
    </w:p>
    <w:p>
      <w:pPr>
        <w:widowControl/>
        <w:spacing w:line="480" w:lineRule="atLeast"/>
        <w:ind w:firstLine="569"/>
        <w:jc w:val="left"/>
        <w:rPr>
          <w:rFonts w:ascii="宋体"/>
          <w:b/>
          <w:bCs/>
          <w:sz w:val="32"/>
          <w:szCs w:val="32"/>
        </w:rPr>
      </w:pPr>
      <w:r>
        <w:rPr>
          <w:rFonts w:ascii="方正仿宋_GBK" w:eastAsia="方正仿宋_GBK" w:cs="宋体"/>
          <w:b/>
          <w:bCs/>
          <w:kern w:val="0"/>
          <w:sz w:val="32"/>
          <w:szCs w:val="32"/>
        </w:rPr>
        <w:t>（三）服务内容及报价</w:t>
      </w:r>
    </w:p>
    <w:p>
      <w:pPr>
        <w:widowControl/>
        <w:spacing w:line="480" w:lineRule="atLeast"/>
        <w:ind w:firstLine="569"/>
        <w:jc w:val="left"/>
        <w:rPr>
          <w:rFonts w:ascii="方正仿宋_GBK" w:eastAsia="方正仿宋_GBK" w:cs="宋体"/>
          <w:kern w:val="0"/>
          <w:sz w:val="32"/>
          <w:szCs w:val="32"/>
        </w:rPr>
      </w:pPr>
      <w:r>
        <w:rPr>
          <w:rFonts w:ascii="方正仿宋_GBK" w:eastAsia="方正仿宋_GBK" w:cs="宋体" w:hint="eastAsia"/>
          <w:kern w:val="0"/>
          <w:sz w:val="32"/>
          <w:szCs w:val="32"/>
        </w:rPr>
        <w:t>1、现有车辆共4辆：主要包括车辆初级维护、一级维护、二级维护、总成修理、车辆小修和车辆专项修理服务和其他有关的车辆维修保养服务。</w:t>
      </w:r>
    </w:p>
    <w:p>
      <w:pPr>
        <w:widowControl/>
        <w:spacing w:line="480" w:lineRule="atLeast"/>
        <w:ind w:firstLine="569"/>
        <w:jc w:val="left"/>
        <w:rPr>
          <w:rFonts w:ascii="方正仿宋_GBK" w:eastAsia="方正仿宋_GBK" w:cs="宋体"/>
          <w:kern w:val="0"/>
          <w:sz w:val="32"/>
          <w:szCs w:val="32"/>
        </w:rPr>
      </w:pPr>
      <w:r>
        <w:rPr>
          <w:rFonts w:ascii="方正仿宋_GBK" w:eastAsia="方正仿宋_GBK" w:cs="宋体" w:hint="eastAsia"/>
          <w:kern w:val="0"/>
          <w:sz w:val="32"/>
          <w:szCs w:val="32"/>
        </w:rPr>
        <w:t>2、报价要求：各供应商以工时优惠率（％）及维修材料优惠率（%）报价。</w:t>
      </w:r>
    </w:p>
    <w:p>
      <w:pPr>
        <w:widowControl/>
        <w:spacing w:line="480" w:lineRule="atLeast"/>
        <w:ind w:firstLine="569"/>
        <w:jc w:val="left"/>
        <w:rPr>
          <w:rFonts w:ascii="方正仿宋_GBK" w:eastAsia="方正仿宋_GBK" w:cs="宋体"/>
          <w:kern w:val="0"/>
          <w:sz w:val="32"/>
          <w:szCs w:val="32"/>
        </w:rPr>
      </w:pPr>
      <w:r>
        <w:rPr>
          <w:rFonts w:ascii="方正仿宋_GBK" w:eastAsia="方正仿宋_GBK" w:cs="宋体" w:hint="eastAsia"/>
          <w:kern w:val="0"/>
          <w:sz w:val="32"/>
          <w:szCs w:val="32"/>
        </w:rPr>
        <w:t>车辆维修保养结算费用：车辆维修保养费总金额=工时费+维修材料费。工时费=最终工时费价格×（1-工时优惠率）；维修材料费=最终维修材料费价格×（1-维修材料优惠率）。每次预算为5000元及以上的车辆维修保养，工时费、维修材料费价格通过向成交的2家供应商进行询价确定，一般情况下以报价最低的为最终工时费价格、维修材料费价格，成交的2家供应商必须配合采购人要求进行报价（原则上供应商报价不得高于本地4S店维修保养工时价格、同类配件的价格；要求提供正规厂家正规渠道的零部件、配件等材料；当没有相应标准的车型时，结算时按相近的车型核算）。</w:t>
      </w:r>
    </w:p>
    <w:sectPr>
      <w:footerReference w:type="default" r:id="rId2"/>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5"/>
      <w:tabs>
        <w:tab w:val="center" w:pos="4153"/>
        <w:tab w:val="right" w:pos="8306"/>
      </w:tabs>
    </w:pPr>
    <w:r>
      <mc:AlternateContent>
        <mc:Choice Requires="wps">
          <w:drawing>
            <wp:anchor distT="0" distB="0" distL="114297" distR="114297" simplePos="0" relativeHeight="10" behindDoc="0" locked="0" layoutInCell="1" hidden="0" allowOverlap="1">
              <wp:simplePos x="0" y="0"/>
              <wp:positionH relativeFrom="margin">
                <wp:align>center</wp:align>
              </wp:positionH>
              <wp:positionV relativeFrom="paragraph">
                <wp:posOffset>0</wp:posOffset>
              </wp:positionV>
              <wp:extent cx="57785" cy="139700"/>
              <wp:effectExtent l="0" t="0" r="0" b="0"/>
              <wp:wrapNone/>
              <wp:docPr id="1" name="_x0000_s1026 3"/>
              <wp:cNvGraphicFramePr>
                <a:graphicFrameLocks noChangeAspect="0"/>
              </wp:cNvGraphicFramePr>
              <a:graphic>
                <a:graphicData uri="http://schemas.microsoft.com/office/word/2010/wordprocessingShape">
                  <wps:wsp>
                    <wps:cNvSpPr/>
                    <wps:spPr>
                      <a:xfrm rot="0">
                        <a:off x="0" y="0"/>
                        <a:ext cx="57785" cy="139700"/>
                      </a:xfrm>
                      <a:prstGeom prst="rect"/>
                      <a:noFill/>
                      <a:ln w="9525" cmpd="sng" cap="flat">
                        <a:noFill/>
                        <a:prstDash val="solid"/>
                        <a:miter/>
                      </a:ln>
                    </wps:spPr>
                    <wps:txbx id="2">
                      <w:txbxContent>
                        <w:p>
                          <w:pPr>
                            <w:pStyle w:val="15"/>
                            <w:tabs>
                              <w:tab w:val="center" w:pos="4153"/>
                              <w:tab w:val="right" w:pos="8306"/>
                            </w:tabs>
                          </w:pPr>
                          <w:r>
                            <w:fldChar w:fldCharType="begin"/>
                          </w:r>
                          <w:r>
                            <w:instrText xml:space="preserve"> PAGE  \* MERGEFORMAT </w:instrText>
                          </w:r>
                          <w:r>
                            <w:fldChar w:fldCharType="separate"/>
                          </w:r>
                          <w:r>
                            <w:t>3</w:t>
                          </w:r>
                          <w:r>
                            <w:fldChar w:fldCharType="end"/>
                          </w:r>
                        </w:p>
                      </w:txbxContent>
                    </wps:txbx>
                    <wps:bodyPr vert="horz" wrap="none" lIns="0" tIns="0" rIns="0" bIns="0" anchor="t" anchorCtr="0" upright="1">
                      <a:spAutoFit/>
                    </wps:bodyPr>
                  </wps:wsp>
                </a:graphicData>
              </a:graphic>
            </wp:anchor>
          </w:drawing>
        </mc:Choice>
        <mc:Fallback>
          <w:pict>
            <v:shape type="#_x0000_t202" id="_x0000_s1026 3 3" o:spid="_x0000_s3" filled="f" stroked="f" style="position:absolute;margin-left:0.0pt;margin-top:0.0pt;width:4.55pt;height:11.0pt;z-index:10;mso-position-horizontal:center;mso-position-horizontal-relative:margin;mso-position-vertical:absolute;mso-wrap-distance-left:8.99983pt;mso-wrap-distance-right:8.99983pt;mso-wrap-style:none;">
              <v:stroke color="#000000"/>
              <v:textbox id="848" inset="0mm,0mm,0mm,0mm" o:insetmode="custom" style="layout-flow:horizontal;v-text-anchor:top;mso-fit-shape-to-text:t;">
                <w:txbxContent>
                  <w:p>
                    <w:pPr>
                      <w:pStyle w:val="15"/>
                      <w:tabs>
                        <w:tab w:val="center" w:pos="4153"/>
                        <w:tab w:val="right" w:pos="8306"/>
                      </w:tabs>
                    </w:pPr>
                    <w:r>
                      <w:fldChar w:fldCharType="begin"/>
                    </w:r>
                    <w:r>
                      <w:instrText xml:space="preserve"> PAGE  \* MERGEFORMAT </w:instrText>
                    </w:r>
                    <w:r>
                      <w:fldChar w:fldCharType="separate"/>
                    </w:r>
                    <w:r>
                      <w:t>3</w:t>
                    </w:r>
                    <w:r>
                      <w:fldChar w:fldCharType="end"/>
                    </w:r>
                  </w:p>
                </w:txbxContent>
              </v:textbox>
            </v:shape>
          </w:pict>
        </mc:Fallback>
      </mc:AlternateContent>
    </w:r>
    <w:r>
      <w:rPr>
        <w:rFonts w:hint="eastAsia"/>
      </w:rPr>
      <w:t xml:space="preserve">                                           第  页</w:t>
    </w: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73"/>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docVar w:name="commondata" w:val="eyJoZGlkIjoiYmNmZGQ5M2JmMTM5ZTJhOTVjYzg5ZWI2NDdkMWE0MWQifQ=="/>
    <w:docVar w:name="KSO_WPS_MARK_KEY" w:val="319b208a-0b5f-4384-9df3-7a9171bf4dd2"/>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2"/>
      <w:lang w:val="en-US" w:eastAsia="zh-CN" w:bidi="ar-SA"/>
    </w:rPr>
  </w:style>
  <w:style w:type="character" w:default="1" w:styleId="10">
    <w:name w:val="Default Paragraph Font"/>
  </w:style>
  <w:style w:type="paragraph" w:styleId="15">
    <w:name w:val="footer"/>
    <w:basedOn w:val="0"/>
    <w:pPr>
      <w:tabs>
        <w:tab w:val="center" w:pos="4153"/>
        <w:tab w:val="right" w:pos="8306"/>
      </w:tabs>
      <w:snapToGrid w:val="0"/>
      <w:jc w:val="left"/>
    </w:pPr>
    <w:rPr>
      <w:sz w:val="18"/>
    </w:rPr>
  </w:style>
  <w:style w:type="paragraph" w:styleId="16">
    <w:name w:val="header"/>
    <w:basedOn w:val="0"/>
    <w:pPr>
      <w:tabs>
        <w:tab w:val="center" w:pos="4153"/>
        <w:tab w:val="right" w:pos="8306"/>
      </w:tabs>
      <w:snapToGrid w:val="0"/>
    </w:pPr>
    <w:rPr>
      <w:sz w:val="18"/>
    </w:rPr>
  </w:style>
  <w:style w:type="paragraph" w:styleId="17">
    <w:name w:val="Normal (Web)"/>
    <w:next w:val="18"/>
    <w:pPr>
      <w:widowControl w:val="0"/>
      <w:spacing w:before="100" w:beforeAutospacing="1" w:after="100" w:afterAutospacing="1"/>
    </w:pPr>
    <w:rPr>
      <w:rFonts w:ascii="宋体" w:eastAsia="宋体" w:cs="Times New Roman"/>
      <w:kern w:val="2"/>
      <w:sz w:val="24"/>
      <w:szCs w:val="21"/>
      <w:lang w:val="en-US" w:eastAsia="zh-CN" w:bidi="ar-SA"/>
    </w:rPr>
  </w:style>
  <w:style w:type="paragraph" w:customStyle="1" w:styleId="18">
    <w:name w:val="样式 4 10 磅"/>
    <w:pPr>
      <w:widowControl w:val="0"/>
      <w:jc w:val="both"/>
    </w:pPr>
    <w:rPr>
      <w:rFonts w:ascii="Calibri" w:eastAsia="宋体" w:cs="Arial" w:hAnsi="Calibri"/>
      <w:kern w:val="2"/>
      <w:sz w:val="21"/>
      <w:szCs w:val="22"/>
      <w:lang w:val="en-US" w:eastAsia="zh-CN" w:bidi="ar-SA"/>
    </w:rPr>
  </w:style>
  <w:style w:type="paragraph" w:customStyle="1" w:styleId="19">
    <w:name w:val="样式 10 磅"/>
    <w:pPr>
      <w:widowControl w:val="0"/>
      <w:jc w:val="both"/>
    </w:pPr>
    <w:rPr>
      <w:rFonts w:ascii="Calibri" w:eastAsia="宋体" w:cs="Arial" w:hAnsi="Calibri"/>
      <w:kern w:val="2"/>
      <w:sz w:val="21"/>
      <w:szCs w:val="22"/>
      <w:lang w:val="en-US" w:eastAsia="zh-CN" w:bidi="ar-SA"/>
    </w:rPr>
  </w:style>
  <w:style w:type="paragraph" w:customStyle="1" w:styleId="20">
    <w:name w:val="样式 1 10 磅"/>
    <w:pPr>
      <w:widowControl w:val="0"/>
      <w:jc w:val="both"/>
    </w:pPr>
    <w:rPr>
      <w:rFonts w:ascii="Calibri" w:eastAsia="宋体" w:cs="Arial" w:hAnsi="Calibri"/>
      <w:kern w:val="2"/>
      <w:sz w:val="21"/>
      <w:szCs w:val="22"/>
      <w:lang w:val="en-US" w:eastAsia="zh-CN" w:bidi="ar-SA"/>
    </w:rPr>
  </w:style>
  <w:style w:type="paragraph" w:customStyle="1" w:styleId="21">
    <w:name w:val="样式 2 10 磅"/>
    <w:pPr>
      <w:widowControl w:val="0"/>
      <w:jc w:val="both"/>
    </w:pPr>
    <w:rPr>
      <w:rFonts w:ascii="Calibri" w:eastAsia="宋体" w:cs="Arial" w:hAnsi="Calibri"/>
      <w:kern w:val="2"/>
      <w:sz w:val="21"/>
      <w:szCs w:val="22"/>
      <w:lang w:val="en-US" w:eastAsia="zh-CN" w:bidi="ar-SA"/>
    </w:rPr>
  </w:style>
  <w:style w:type="paragraph" w:customStyle="1" w:styleId="22">
    <w:name w:val="样式 3 10 磅"/>
    <w:pPr>
      <w:widowControl w:val="0"/>
      <w:jc w:val="both"/>
    </w:pPr>
    <w:rPr>
      <w:rFonts w:ascii="Calibri" w:eastAsia="宋体" w:cs="Arial" w:hAnsi="Calibri"/>
      <w:kern w:val="2"/>
      <w:sz w:val="21"/>
      <w:szCs w:val="22"/>
      <w:lang w:val="en-US" w:eastAsia="zh-CN" w:bidi="ar-SA"/>
    </w:rPr>
  </w:style>
  <w:style w:type="paragraph" w:customStyle="1" w:styleId="23">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28">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29">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12 10 磅"/>
    <w:pPr>
      <w:widowControl w:val="0"/>
      <w:jc w:val="both"/>
    </w:pPr>
    <w:rPr>
      <w:rFonts w:ascii="Times New Roman" w:eastAsia="宋体" w:cs="Times New Roman" w:hAnsi="Times New Roman"/>
      <w:kern w:val="2"/>
      <w:sz w:val="21"/>
      <w:szCs w:val="24"/>
      <w:lang w:val="en-US" w:eastAsia="zh-CN" w:bidi="ar-SA"/>
    </w:rPr>
  </w:style>
  <w:style w:type="paragraph" w:styleId="31">
    <w:name w:val="Balloon Text"/>
    <w:basedOn w:val="0"/>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167</TotalTime>
  <Application>Yozo_Office</Application>
  <Pages>3</Pages>
  <Words>888</Words>
  <Characters>903</Characters>
  <Lines>45</Lines>
  <Paragraphs>21</Paragraphs>
  <CharactersWithSpaces>930</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何龙凉</dc:creator>
  <cp:lastModifiedBy>刘玉</cp:lastModifiedBy>
  <cp:revision>61</cp:revision>
  <cp:lastPrinted>2024-12-09T09:59:00Z</cp:lastPrinted>
  <dcterms:created xsi:type="dcterms:W3CDTF">2020-08-05T01:44:00Z</dcterms:created>
  <dcterms:modified xsi:type="dcterms:W3CDTF">2026-03-31T06:46:10Z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2052-12.1.0.19302</vt:lpwstr>
  </property>
  <property fmtid="{D5CDD505-2E9C-101B-9397-08002B2CF9AE}" pid="3" name="ICV">
    <vt:lpwstr>95E15E407D07492A8D732D54D2F93392_13</vt:lpwstr>
  </property>
</Properties>
</file>