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jc w:val="center"/>
        <w:rPr>
          <w:rFonts w:eastAsia="方正小标宋_GBK"/>
          <w:bCs/>
          <w:sz w:val="44"/>
          <w:szCs w:val="44"/>
        </w:rPr>
      </w:pPr>
      <w:bookmarkStart w:id="0" w:name="_GoBack"/>
      <w:bookmarkEnd w:id="0"/>
      <w:r>
        <w:rPr>
          <w:rFonts w:eastAsia="方正小标宋_GBK"/>
          <w:bCs/>
          <w:sz w:val="44"/>
          <w:szCs w:val="44"/>
        </w:rPr>
        <w:t>评</w:t>
      </w:r>
      <w:r>
        <w:rPr>
          <w:rFonts w:eastAsia="方正小标宋_GBK" w:hint="eastAsia"/>
          <w:bCs/>
          <w:sz w:val="44"/>
          <w:szCs w:val="44"/>
        </w:rPr>
        <w:t>审</w:t>
      </w:r>
      <w:r>
        <w:rPr>
          <w:rFonts w:eastAsia="方正小标宋_GBK"/>
          <w:bCs/>
          <w:sz w:val="44"/>
          <w:szCs w:val="44"/>
        </w:rPr>
        <w:t>办法</w:t>
      </w:r>
    </w:p>
    <w:p>
      <w:pPr>
        <w:spacing w:line="560" w:lineRule="exact"/>
        <w:jc w:val="center"/>
        <w:rPr>
          <w:rFonts w:ascii="方正小标宋_GBK" w:eastAsia="方正小标宋_GBK"/>
          <w:bCs/>
          <w:sz w:val="32"/>
          <w:szCs w:val="32"/>
        </w:rPr>
      </w:pPr>
      <w:r>
        <w:rPr>
          <w:rFonts w:ascii="方正小标宋_GBK" w:eastAsia="方正小标宋_GBK" w:hint="eastAsia"/>
          <w:bCs/>
          <w:sz w:val="32"/>
          <w:szCs w:val="32"/>
        </w:rPr>
        <w:t>（</w:t>
      </w:r>
      <w:r>
        <w:rPr>
          <w:rFonts w:ascii="方正小标宋_GBK" w:eastAsia="方正小标宋_GBK"/>
          <w:bCs/>
          <w:sz w:val="32"/>
          <w:szCs w:val="32"/>
        </w:rPr>
        <w:t>综合评分</w:t>
      </w:r>
      <w:r>
        <w:rPr>
          <w:rFonts w:ascii="方正小标宋_GBK" w:eastAsia="方正小标宋_GBK" w:hint="eastAsia"/>
          <w:bCs/>
          <w:sz w:val="32"/>
          <w:szCs w:val="32"/>
        </w:rPr>
        <w:t>法）</w:t>
      </w:r>
    </w:p>
    <w:p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一、形式评审</w:t>
      </w:r>
    </w:p>
    <w:p>
      <w:pPr>
        <w:spacing w:line="560" w:lineRule="exact"/>
        <w:ind w:firstLineChars="200" w:firstLine="640"/>
        <w:rPr>
          <w:rFonts w:ascii="方正楷体_GBK" w:eastAsia="方正楷体_GBK"/>
          <w:b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（一）</w:t>
      </w:r>
      <w:r>
        <w:rPr>
          <w:rFonts w:ascii="方正楷体_GBK" w:eastAsia="方正楷体_GBK" w:hint="eastAsia"/>
          <w:b/>
          <w:sz w:val="32"/>
          <w:szCs w:val="32"/>
        </w:rPr>
        <w:t>查看报价文件送达时间：</w:t>
      </w:r>
    </w:p>
    <w:p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在《采购公告》规定的</w:t>
      </w:r>
      <w:r>
        <w:rPr>
          <w:rFonts w:eastAsia="方正仿宋_GBK"/>
          <w:sz w:val="32"/>
          <w:szCs w:val="32"/>
        </w:rPr>
        <w:t>报价截止时间之前将报价文件送达</w:t>
      </w:r>
      <w:r>
        <w:rPr>
          <w:rFonts w:eastAsia="方正仿宋_GBK" w:hint="eastAsia"/>
          <w:sz w:val="32"/>
          <w:szCs w:val="32"/>
        </w:rPr>
        <w:t>；</w:t>
      </w:r>
    </w:p>
    <w:p>
      <w:pPr>
        <w:spacing w:line="560" w:lineRule="exact"/>
        <w:ind w:left="640"/>
        <w:rPr>
          <w:rFonts w:ascii="方正楷体_GBK" w:eastAsia="方正楷体_GBK"/>
          <w:b/>
          <w:sz w:val="32"/>
          <w:szCs w:val="32"/>
        </w:rPr>
      </w:pPr>
      <w:r>
        <w:rPr>
          <w:rFonts w:ascii="方正楷体_GBK" w:eastAsia="方正楷体_GBK" w:hint="eastAsia"/>
          <w:b/>
          <w:sz w:val="32"/>
          <w:szCs w:val="32"/>
        </w:rPr>
        <w:t>（二）</w:t>
      </w:r>
      <w:r>
        <w:rPr>
          <w:rFonts w:ascii="方正楷体_GBK" w:eastAsia="方正楷体_GBK"/>
          <w:b/>
          <w:sz w:val="32"/>
          <w:szCs w:val="32"/>
        </w:rPr>
        <w:t>报价文件组成：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</w:t>
      </w:r>
      <w:r>
        <w:rPr>
          <w:rFonts w:eastAsia="方正仿宋_GBK" w:hint="eastAsia"/>
          <w:sz w:val="32"/>
          <w:szCs w:val="32"/>
        </w:rPr>
        <w:t>报价函（附件</w:t>
      </w:r>
      <w:r>
        <w:rPr>
          <w:rFonts w:eastAsia="方正仿宋_GBK"/>
          <w:sz w:val="32"/>
          <w:szCs w:val="32"/>
        </w:rPr>
        <w:t>1</w:t>
      </w:r>
      <w:r>
        <w:rPr>
          <w:rFonts w:eastAsia="方正仿宋_GBK" w:hint="eastAsia"/>
          <w:sz w:val="32"/>
          <w:szCs w:val="32"/>
        </w:rPr>
        <w:t>，必须提供）；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>
        <w:rPr>
          <w:rFonts w:eastAsia="方正仿宋_GBK" w:hint="eastAsia"/>
          <w:sz w:val="32"/>
          <w:szCs w:val="32"/>
        </w:rPr>
        <w:t>报价明细表（附件</w:t>
      </w:r>
      <w:r>
        <w:rPr>
          <w:rFonts w:eastAsia="方正仿宋_GBK"/>
          <w:sz w:val="32"/>
          <w:szCs w:val="32"/>
        </w:rPr>
        <w:t>2</w:t>
      </w:r>
      <w:r>
        <w:rPr>
          <w:rFonts w:eastAsia="方正仿宋_GBK" w:hint="eastAsia"/>
          <w:sz w:val="32"/>
          <w:szCs w:val="32"/>
        </w:rPr>
        <w:t>，必须提供）；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eastAsia="方正仿宋_GBK" w:hint="eastAsia"/>
          <w:sz w:val="32"/>
          <w:szCs w:val="32"/>
        </w:rPr>
        <w:t>声明，</w:t>
      </w:r>
      <w:r>
        <w:rPr>
          <w:rFonts w:ascii="方正仿宋_GBK" w:eastAsia="方正仿宋_GBK" w:hint="eastAsia"/>
          <w:sz w:val="32"/>
          <w:szCs w:val="32"/>
        </w:rPr>
        <w:t>提供在“信用中国”网站（www.creditchina.gov.cn）的信用查询截图</w:t>
      </w:r>
      <w:r>
        <w:rPr>
          <w:rFonts w:eastAsia="方正仿宋_GBK" w:hint="eastAsia"/>
          <w:sz w:val="32"/>
          <w:szCs w:val="32"/>
        </w:rPr>
        <w:t>（附件</w:t>
      </w:r>
      <w:r>
        <w:rPr>
          <w:rFonts w:eastAsia="方正仿宋_GBK"/>
          <w:sz w:val="32"/>
          <w:szCs w:val="32"/>
        </w:rPr>
        <w:t>3</w:t>
      </w:r>
      <w:r>
        <w:rPr>
          <w:rFonts w:eastAsia="方正仿宋_GBK" w:hint="eastAsia"/>
          <w:sz w:val="32"/>
          <w:szCs w:val="32"/>
        </w:rPr>
        <w:t>，必须提供）；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</w:t>
      </w:r>
      <w:r>
        <w:rPr>
          <w:rFonts w:eastAsia="方正仿宋_GBK" w:hint="eastAsia"/>
          <w:sz w:val="32"/>
          <w:szCs w:val="32"/>
        </w:rPr>
        <w:t>有效的营业执照副本复印件（必须提供）；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</w:t>
      </w:r>
      <w:r>
        <w:rPr>
          <w:rFonts w:eastAsia="方正仿宋_GBK" w:hint="eastAsia"/>
          <w:sz w:val="32"/>
          <w:szCs w:val="32"/>
        </w:rPr>
        <w:t>供应商的法定代表人身份证正反面复印件（必须提供）；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6.</w:t>
      </w:r>
      <w:r>
        <w:rPr>
          <w:rFonts w:eastAsia="方正仿宋_GBK" w:hint="eastAsia"/>
          <w:sz w:val="32"/>
          <w:szCs w:val="32"/>
        </w:rPr>
        <w:t>供应商的法人授权委托书、委托代理人身份证正反面复印件（委托代理时必须提供，</w:t>
      </w:r>
      <w:r>
        <w:rPr>
          <w:rFonts w:eastAsia="方正仿宋_GBK" w:hint="eastAsia"/>
          <w:color w:val="000000"/>
          <w:sz w:val="32"/>
          <w:szCs w:val="32"/>
        </w:rPr>
        <w:t>同时要加盖单位公章，否则被认定为资格审查不合格而报价无效</w:t>
      </w:r>
      <w:r>
        <w:rPr>
          <w:rFonts w:eastAsia="方正仿宋_GBK" w:hint="eastAsia"/>
          <w:sz w:val="32"/>
          <w:szCs w:val="32"/>
        </w:rPr>
        <w:t>）；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7.</w:t>
      </w:r>
      <w:r>
        <w:rPr>
          <w:rFonts w:eastAsia="方正仿宋_GBK" w:hint="eastAsia"/>
          <w:sz w:val="32"/>
          <w:szCs w:val="32"/>
        </w:rPr>
        <w:t>供应商基本情况介绍</w:t>
      </w:r>
      <w:r>
        <w:rPr>
          <w:rFonts w:eastAsia="方正仿宋_GBK" w:hint="eastAsia"/>
          <w:color w:val="000000"/>
          <w:sz w:val="32"/>
          <w:szCs w:val="32"/>
        </w:rPr>
        <w:t>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8.</w:t>
      </w:r>
      <w:r>
        <w:rPr>
          <w:rFonts w:eastAsia="方正仿宋_GBK" w:hint="eastAsia"/>
          <w:color w:val="000000"/>
          <w:sz w:val="32"/>
          <w:szCs w:val="32"/>
        </w:rPr>
        <w:t>拟派的本项目负责人简历和技术人员表</w:t>
      </w:r>
      <w:r>
        <w:rPr>
          <w:rFonts w:eastAsia="方正仿宋_GBK" w:hint="eastAsia"/>
          <w:sz w:val="32"/>
          <w:szCs w:val="32"/>
        </w:rPr>
        <w:t>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9.</w:t>
      </w:r>
      <w:r>
        <w:rPr>
          <w:rFonts w:eastAsia="方正仿宋_GBK" w:hint="eastAsia"/>
          <w:sz w:val="32"/>
          <w:szCs w:val="32"/>
        </w:rPr>
        <w:t>近三年同类工作相关业绩；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10.</w:t>
      </w:r>
      <w:r>
        <w:rPr>
          <w:rFonts w:eastAsia="方正仿宋_GBK" w:hint="eastAsia"/>
          <w:sz w:val="32"/>
          <w:szCs w:val="32"/>
        </w:rPr>
        <w:t>提供所报价设备的图片及具体参数（如为设备类项目须提供）；</w:t>
      </w:r>
    </w:p>
    <w:p>
      <w:pPr>
        <w:pStyle w:val="18"/>
        <w:autoSpaceDN w:val="0"/>
        <w:spacing w:line="560" w:lineRule="exact"/>
        <w:ind w:leftChars="-1" w:left="-2" w:firstLineChars="221" w:firstLine="707"/>
        <w:rPr>
          <w:rFonts w:ascii="方正仿宋_GBK"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11.</w:t>
      </w:r>
      <w:r>
        <w:rPr>
          <w:rFonts w:eastAsia="方正仿宋_GBK" w:hint="eastAsia"/>
          <w:sz w:val="32"/>
          <w:szCs w:val="32"/>
        </w:rPr>
        <w:t>其他证</w:t>
      </w:r>
      <w:r>
        <w:rPr>
          <w:rFonts w:ascii="方正仿宋_GBK" w:eastAsia="方正仿宋_GBK" w:hint="eastAsia"/>
          <w:sz w:val="32"/>
          <w:szCs w:val="32"/>
        </w:rPr>
        <w:t>明文件的复印件（如有请提供）。</w:t>
      </w:r>
    </w:p>
    <w:p>
      <w:pPr>
        <w:spacing w:line="560" w:lineRule="exact"/>
        <w:ind w:leftChars="-1" w:left="-2" w:firstLineChars="200" w:firstLine="560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/>
          <w:sz w:val="28"/>
          <w:szCs w:val="28"/>
        </w:rPr>
        <w:t>(</w:t>
      </w:r>
      <w:r>
        <w:rPr>
          <w:rFonts w:ascii="方正仿宋_GBK" w:eastAsia="方正仿宋_GBK" w:hint="eastAsia"/>
          <w:sz w:val="28"/>
          <w:szCs w:val="28"/>
        </w:rPr>
        <w:t>注：报价文件须按照上述目录顺序装订成册，属于必须提供的材料均要加盖单位公章。报价文件副本材料须加盖封面章或骑缝章。）</w:t>
      </w:r>
    </w:p>
    <w:p>
      <w:pPr>
        <w:spacing w:line="560" w:lineRule="exact"/>
        <w:ind w:left="640"/>
        <w:rPr>
          <w:rFonts w:eastAsia="方正仿宋_GBK"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（</w:t>
      </w:r>
      <w:r>
        <w:rPr>
          <w:rFonts w:ascii="方正楷体_GBK" w:eastAsia="方正楷体_GBK" w:hint="eastAsia"/>
          <w:b/>
          <w:sz w:val="32"/>
          <w:szCs w:val="32"/>
        </w:rPr>
        <w:t>三</w:t>
      </w:r>
      <w:r>
        <w:rPr>
          <w:rFonts w:ascii="方正楷体_GBK" w:eastAsia="方正楷体_GBK"/>
          <w:b/>
          <w:sz w:val="32"/>
          <w:szCs w:val="32"/>
        </w:rPr>
        <w:t>）报价文件包装密封要求</w:t>
      </w:r>
      <w:r>
        <w:rPr>
          <w:rFonts w:eastAsia="方正仿宋_GBK"/>
          <w:sz w:val="32"/>
          <w:szCs w:val="32"/>
        </w:rPr>
        <w:t>。</w:t>
      </w:r>
    </w:p>
    <w:p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人应将所有报价文件装在一个密封袋内，</w:t>
      </w:r>
      <w:r>
        <w:rPr>
          <w:rFonts w:eastAsia="方正仿宋_GBK" w:hint="eastAsia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文件密封袋的封口处应加贴封条并加盖</w:t>
      </w:r>
      <w:r>
        <w:rPr>
          <w:rFonts w:eastAsia="方正仿宋_GBK" w:hint="eastAsia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人法人单位公章以示密封。</w:t>
      </w:r>
    </w:p>
    <w:p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二、资质评审</w:t>
      </w:r>
    </w:p>
    <w:p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具备《采购公告》中企业资质。</w:t>
      </w:r>
    </w:p>
    <w:p>
      <w:pPr>
        <w:spacing w:line="560" w:lineRule="exact"/>
        <w:ind w:firstLineChars="196" w:firstLine="627"/>
        <w:rPr>
          <w:rFonts w:eastAsia="方正黑体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三、响应性评审</w:t>
      </w:r>
    </w:p>
    <w:p>
      <w:pPr>
        <w:spacing w:line="560" w:lineRule="exact"/>
        <w:ind w:firstLineChars="200" w:firstLine="640"/>
        <w:rPr>
          <w:rFonts w:eastAsia="方正仿宋_GBK"/>
          <w:color w:val="FF0000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（一）</w:t>
      </w:r>
      <w:r>
        <w:rPr>
          <w:rFonts w:eastAsia="方正仿宋_GBK"/>
          <w:sz w:val="32"/>
          <w:szCs w:val="32"/>
        </w:rPr>
        <w:t>不符合以上</w:t>
      </w:r>
      <w:r>
        <w:rPr>
          <w:rFonts w:eastAsia="方正仿宋_GBK" w:hint="eastAsia"/>
          <w:sz w:val="32"/>
          <w:szCs w:val="32"/>
        </w:rPr>
        <w:t>形式</w:t>
      </w:r>
      <w:r>
        <w:rPr>
          <w:rFonts w:eastAsia="方正仿宋_GBK"/>
          <w:sz w:val="32"/>
          <w:szCs w:val="32"/>
        </w:rPr>
        <w:t>要求</w:t>
      </w:r>
      <w:r>
        <w:rPr>
          <w:rFonts w:eastAsia="方正仿宋_GBK" w:hint="eastAsia"/>
          <w:sz w:val="32"/>
          <w:szCs w:val="32"/>
        </w:rPr>
        <w:t>（标注必须提供的材料未提交的）和资质要求的为不响应采购文件</w:t>
      </w:r>
      <w:r>
        <w:rPr>
          <w:rFonts w:eastAsia="方正仿宋_GBK"/>
          <w:sz w:val="32"/>
          <w:szCs w:val="32"/>
        </w:rPr>
        <w:t>，不</w:t>
      </w:r>
      <w:r>
        <w:rPr>
          <w:rFonts w:eastAsia="方正仿宋_GBK" w:hint="eastAsia"/>
          <w:sz w:val="32"/>
          <w:szCs w:val="32"/>
        </w:rPr>
        <w:t>得</w:t>
      </w:r>
      <w:r>
        <w:rPr>
          <w:rFonts w:eastAsia="方正仿宋_GBK"/>
          <w:sz w:val="32"/>
          <w:szCs w:val="32"/>
        </w:rPr>
        <w:t>参加下一步评审。</w:t>
      </w:r>
    </w:p>
    <w:p>
      <w:pPr>
        <w:spacing w:line="560" w:lineRule="exact"/>
        <w:ind w:firstLineChars="200" w:firstLine="640"/>
        <w:rPr>
          <w:rFonts w:ascii="华文隶书" w:eastAsia="华文隶书"/>
          <w:sz w:val="32"/>
          <w:szCs w:val="32"/>
          <w:highlight w:val="yellow"/>
        </w:rPr>
      </w:pPr>
      <w:r>
        <w:rPr>
          <w:rFonts w:eastAsia="方正仿宋_GBK" w:hint="eastAsia"/>
          <w:sz w:val="32"/>
          <w:szCs w:val="32"/>
        </w:rPr>
        <w:t>（二）报价</w:t>
      </w:r>
      <w:r>
        <w:rPr>
          <w:rFonts w:eastAsia="方正仿宋_GBK"/>
          <w:sz w:val="32"/>
          <w:szCs w:val="32"/>
        </w:rPr>
        <w:t>在上控价以内</w:t>
      </w:r>
      <w:r>
        <w:rPr>
          <w:rFonts w:eastAsia="方正仿宋_GBK" w:hint="eastAsia"/>
          <w:sz w:val="32"/>
          <w:szCs w:val="32"/>
        </w:rPr>
        <w:t>且</w:t>
      </w:r>
      <w:r>
        <w:rPr>
          <w:rFonts w:eastAsia="方正仿宋_GBK"/>
          <w:sz w:val="32"/>
          <w:szCs w:val="32"/>
        </w:rPr>
        <w:t>不存在严重不平衡、不合理、不低于其企业成本</w:t>
      </w:r>
      <w:r>
        <w:rPr>
          <w:rFonts w:eastAsia="方正仿宋_GBK" w:hint="eastAsia"/>
          <w:sz w:val="32"/>
          <w:szCs w:val="32"/>
        </w:rPr>
        <w:t>的报价</w:t>
      </w:r>
      <w:r>
        <w:rPr>
          <w:rFonts w:eastAsia="方正仿宋_GBK"/>
          <w:sz w:val="32"/>
          <w:szCs w:val="32"/>
        </w:rPr>
        <w:t>为有效报价，</w:t>
      </w:r>
      <w:r>
        <w:rPr>
          <w:rFonts w:eastAsia="方正仿宋_GBK" w:hint="eastAsia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超过上控价</w:t>
      </w:r>
      <w:r>
        <w:rPr>
          <w:rFonts w:eastAsia="方正仿宋_GBK" w:hint="eastAsia"/>
          <w:sz w:val="32"/>
          <w:szCs w:val="32"/>
        </w:rPr>
        <w:t>和</w:t>
      </w:r>
      <w:r>
        <w:rPr>
          <w:rFonts w:eastAsia="方正仿宋_GBK"/>
          <w:sz w:val="32"/>
          <w:szCs w:val="32"/>
        </w:rPr>
        <w:t>严重不平衡、不合理、低于其企业成本</w:t>
      </w:r>
      <w:r>
        <w:rPr>
          <w:rFonts w:eastAsia="方正仿宋_GBK" w:hint="eastAsia"/>
          <w:sz w:val="32"/>
          <w:szCs w:val="32"/>
        </w:rPr>
        <w:t>的报价为不响应采购文件，</w:t>
      </w:r>
      <w:r>
        <w:rPr>
          <w:rFonts w:eastAsia="方正仿宋_GBK"/>
          <w:sz w:val="32"/>
          <w:szCs w:val="32"/>
        </w:rPr>
        <w:t>不</w:t>
      </w:r>
      <w:r>
        <w:rPr>
          <w:rFonts w:eastAsia="方正仿宋_GBK" w:hint="eastAsia"/>
          <w:sz w:val="32"/>
          <w:szCs w:val="32"/>
        </w:rPr>
        <w:t>得</w:t>
      </w:r>
      <w:r>
        <w:rPr>
          <w:rFonts w:eastAsia="方正仿宋_GBK"/>
          <w:sz w:val="32"/>
          <w:szCs w:val="32"/>
        </w:rPr>
        <w:t>参加下一步评审</w:t>
      </w:r>
      <w:r>
        <w:rPr>
          <w:rFonts w:eastAsia="方正仿宋_GBK" w:hint="eastAsia"/>
          <w:sz w:val="32"/>
          <w:szCs w:val="32"/>
        </w:rPr>
        <w:t>。</w:t>
      </w:r>
    </w:p>
    <w:p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四</w:t>
      </w:r>
      <w:r>
        <w:rPr>
          <w:rFonts w:eastAsia="方正黑体_GBK"/>
          <w:sz w:val="32"/>
          <w:szCs w:val="32"/>
        </w:rPr>
        <w:t>、</w:t>
      </w:r>
      <w:r>
        <w:rPr>
          <w:rFonts w:eastAsia="方正黑体_GBK" w:hint="eastAsia"/>
          <w:sz w:val="32"/>
          <w:szCs w:val="32"/>
        </w:rPr>
        <w:t>评审方法及评分标准</w:t>
      </w:r>
    </w:p>
    <w:p>
      <w:pPr>
        <w:snapToGrid w:val="0"/>
        <w:spacing w:line="560" w:lineRule="exact"/>
        <w:ind w:firstLineChars="196" w:firstLine="627"/>
        <w:jc w:val="left"/>
        <w:rPr>
          <w:rFonts w:ascii="仿宋_GB2312" w:eastAsia="仿宋_GB2312" w:cs="Courier New"/>
          <w:b/>
          <w:sz w:val="32"/>
          <w:szCs w:val="32"/>
        </w:rPr>
      </w:pPr>
      <w:r>
        <w:rPr>
          <w:rFonts w:ascii="仿宋_GB2312" w:eastAsia="仿宋_GB2312" w:cs="Courier New" w:hint="eastAsia"/>
          <w:b/>
          <w:sz w:val="32"/>
          <w:szCs w:val="32"/>
        </w:rPr>
        <w:t>（一）评审方法。</w:t>
      </w:r>
    </w:p>
    <w:p>
      <w:pPr>
        <w:snapToGrid w:val="0"/>
        <w:spacing w:line="560" w:lineRule="exact"/>
        <w:ind w:firstLineChars="200" w:firstLine="640"/>
        <w:jc w:val="left"/>
        <w:rPr>
          <w:rFonts w:eastAsia="方正仿宋_GBK" w:cs="Courier New"/>
          <w:bCs/>
          <w:sz w:val="32"/>
          <w:szCs w:val="32"/>
        </w:rPr>
      </w:pPr>
      <w:r>
        <w:rPr>
          <w:rFonts w:eastAsia="方正仿宋_GBK" w:cs="Courier New" w:hint="eastAsia"/>
          <w:bCs/>
          <w:sz w:val="32"/>
          <w:szCs w:val="32"/>
        </w:rPr>
        <w:t>1.对进入详评的，采用百分制综合评分法。</w:t>
      </w:r>
    </w:p>
    <w:p>
      <w:pPr>
        <w:snapToGrid w:val="0"/>
        <w:spacing w:line="560" w:lineRule="exact"/>
        <w:ind w:firstLineChars="200" w:firstLine="640"/>
        <w:jc w:val="left"/>
        <w:rPr>
          <w:rFonts w:eastAsia="方正仿宋_GBK" w:cs="Courier New"/>
          <w:bCs/>
          <w:sz w:val="32"/>
          <w:szCs w:val="32"/>
        </w:rPr>
      </w:pPr>
      <w:r>
        <w:rPr>
          <w:rFonts w:eastAsia="方正仿宋_GBK" w:cs="Courier New" w:hint="eastAsia"/>
          <w:bCs/>
          <w:sz w:val="32"/>
          <w:szCs w:val="32"/>
        </w:rPr>
        <w:t>2.计分办法（按四舍五入取至小数点后两位）。</w:t>
      </w:r>
    </w:p>
    <w:p>
      <w:pPr>
        <w:spacing w:line="560" w:lineRule="exact"/>
        <w:ind w:firstLineChars="200" w:firstLine="640"/>
        <w:rPr>
          <w:rFonts w:ascii="仿宋_GB2312" w:eastAsia="仿宋_GB2312" w:cs="Courier New"/>
          <w:b/>
          <w:sz w:val="32"/>
          <w:szCs w:val="32"/>
        </w:rPr>
      </w:pPr>
      <w:r>
        <w:rPr>
          <w:rFonts w:ascii="仿宋_GB2312" w:eastAsia="仿宋_GB2312" w:cs="Courier New" w:hint="eastAsia"/>
          <w:b/>
          <w:sz w:val="32"/>
          <w:szCs w:val="32"/>
        </w:rPr>
        <w:t>（二）评分标准。</w:t>
      </w:r>
    </w:p>
    <w:tbl>
      <w:tblPr>
        <w:jc w:val="left"/>
        <w:tblInd w:w="-338" w:type="dxa"/>
        <w:tblW w:w="9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559"/>
        <w:gridCol w:w="7117"/>
      </w:tblGrid>
      <w:tr>
        <w:trPr>
          <w:trHeight w:val="270"/>
        </w:trPr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cs="宋体" w:hint="eastAsia"/>
                <w:color w:val="000000"/>
                <w:kern w:val="0"/>
                <w:sz w:val="28"/>
                <w:szCs w:val="28"/>
              </w:rPr>
              <w:t>评分项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方正黑体_GBK" w:eastAsia="方正黑体_GBK" w:cs="宋体"/>
                <w:color w:val="000000"/>
                <w:sz w:val="28"/>
                <w:szCs w:val="28"/>
              </w:rPr>
            </w:pPr>
            <w:r>
              <w:rPr>
                <w:rFonts w:ascii="方正黑体_GBK" w:eastAsia="方正黑体_GBK" w:cs="宋体" w:hint="eastAsia"/>
                <w:color w:val="000000"/>
                <w:kern w:val="0"/>
                <w:sz w:val="28"/>
                <w:szCs w:val="28"/>
              </w:rPr>
              <w:t>评分标准</w:t>
            </w:r>
          </w:p>
        </w:tc>
      </w:tr>
      <w:tr>
        <w:trPr>
          <w:trHeight w:val="1080"/>
        </w:trPr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价格部分</w:t>
              <w:br/>
              <w:t>（60分）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根据三类车型(商务车、越野车、轿车)报价，满足文件要求且价格最低的最终报价为评审基准价。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其他供应商的价格分统一按照下列公式计算：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报价得分=20×(商务车评审基准价/最终报价)+20×(越野车评审基准价/最终报价)+20×(轿车评审基准价/最终报价)</w:t>
            </w:r>
          </w:p>
        </w:tc>
      </w:tr>
      <w:tr>
        <w:trPr>
          <w:trHeight w:val="1267"/>
        </w:trPr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行业案例及业绩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（20分）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提供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</w:rPr>
              <w:t>相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类似租赁案例每个可得5分，最多得20分。</w:t>
              <w:br/>
              <w:t>案例应提供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</w:rPr>
              <w:t>相关材料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复印件证明（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</w:rPr>
              <w:t>包括不限于案例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合同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</w:rPr>
              <w:t>、成交通知书等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），合同原件和对应发票备查。</w:t>
            </w:r>
          </w:p>
        </w:tc>
      </w:tr>
      <w:tr>
        <w:trPr>
          <w:trHeight w:val="808"/>
        </w:trPr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综合服务评价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0分）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 w:hAnsi="Times New Roman"/>
                <w:color w:val="000000"/>
                <w:kern w:val="0"/>
                <w:sz w:val="28"/>
                <w:szCs w:val="28"/>
              </w:rPr>
              <w:t>经综合评价：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 w:hAnsi="Times New Roman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 w:hAnsi="Times New Roman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方正仿宋_GBK" w:hAnsi="Times New Roman"/>
                <w:color w:val="000000"/>
                <w:kern w:val="0"/>
                <w:sz w:val="28"/>
                <w:szCs w:val="28"/>
              </w:rPr>
              <w:t>、车况最好、保险方案最优、服务保障最到位的得15-20分；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 w:hAnsi="Times New Roman" w:hint="eastAsia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eastAsia="方正仿宋_GBK" w:hAnsi="Times New Roman"/>
                <w:color w:val="000000"/>
                <w:kern w:val="0"/>
                <w:sz w:val="28"/>
                <w:szCs w:val="28"/>
              </w:rPr>
              <w:t>、车况较好、保险方案较优、服务保障比较到位的得10-14分；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 w:hAnsi="Times New Roman"/>
                <w:color w:val="000000"/>
                <w:kern w:val="0"/>
                <w:sz w:val="28"/>
                <w:szCs w:val="28"/>
              </w:rPr>
              <w:t>3、车况一般、保险方案一般、服务保障一般的得5-9分；</w:t>
            </w:r>
          </w:p>
        </w:tc>
      </w:tr>
    </w:tbl>
    <w:p>
      <w:pPr>
        <w:snapToGrid w:val="0"/>
        <w:spacing w:line="560" w:lineRule="exact"/>
        <w:ind w:firstLineChars="200" w:firstLine="640"/>
        <w:jc w:val="left"/>
        <w:rPr>
          <w:rFonts w:ascii="仿宋_GB2312" w:eastAsia="仿宋_GB2312" w:cs="Courier New"/>
          <w:b/>
          <w:sz w:val="32"/>
          <w:szCs w:val="32"/>
        </w:rPr>
      </w:pPr>
      <w:r>
        <w:rPr>
          <w:rFonts w:ascii="仿宋_GB2312" w:eastAsia="仿宋_GB2312" w:cs="Courier New" w:hint="eastAsia"/>
          <w:b/>
          <w:sz w:val="32"/>
          <w:szCs w:val="32"/>
        </w:rPr>
        <w:t>（三）成交(候选)人推荐原则。</w:t>
      </w:r>
    </w:p>
    <w:p>
      <w:pPr>
        <w:snapToGrid w:val="0"/>
        <w:spacing w:line="560" w:lineRule="exact"/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评审小组将按总得分由高到低排列成交候选供应商顺序（总得分相同时，依次按投标报价低优先、</w:t>
      </w:r>
      <w:r>
        <w:rPr>
          <w:rFonts w:ascii="方正仿宋_GBK" w:eastAsia="方正仿宋_GBK"/>
          <w:color w:val="000000"/>
          <w:sz w:val="32"/>
          <w:szCs w:val="32"/>
        </w:rPr>
        <w:t>综合服务</w:t>
      </w:r>
      <w:r>
        <w:rPr>
          <w:rFonts w:ascii="方正仿宋_GBK" w:eastAsia="方正仿宋_GBK" w:hint="eastAsia"/>
          <w:color w:val="000000"/>
          <w:sz w:val="32"/>
          <w:szCs w:val="32"/>
        </w:rPr>
        <w:t>分高优先、</w:t>
      </w:r>
      <w:r>
        <w:rPr>
          <w:rFonts w:ascii="方正仿宋_GBK" w:eastAsia="方正仿宋_GBK"/>
          <w:color w:val="000000"/>
          <w:sz w:val="32"/>
          <w:szCs w:val="32"/>
        </w:rPr>
        <w:t>行业案例及业绩分高</w:t>
      </w:r>
      <w:r>
        <w:rPr>
          <w:rFonts w:ascii="方正仿宋_GBK" w:eastAsia="方正仿宋_GBK" w:hint="eastAsia"/>
          <w:color w:val="000000"/>
          <w:sz w:val="32"/>
          <w:szCs w:val="32"/>
        </w:rPr>
        <w:t>优先</w:t>
      </w:r>
      <w:r>
        <w:rPr>
          <w:rFonts w:ascii="方正仿宋_GBK" w:eastAsia="方正仿宋_GBK"/>
          <w:color w:val="000000"/>
          <w:sz w:val="32"/>
          <w:szCs w:val="32"/>
        </w:rPr>
        <w:t>的</w:t>
      </w:r>
      <w:r>
        <w:rPr>
          <w:rFonts w:ascii="方正仿宋_GBK" w:eastAsia="方正仿宋_GBK" w:hint="eastAsia"/>
          <w:color w:val="000000"/>
          <w:sz w:val="32"/>
          <w:szCs w:val="32"/>
        </w:rPr>
        <w:t>顺序排列），并依照次序确定成交候选</w:t>
      </w:r>
      <w:r>
        <w:rPr>
          <w:rFonts w:ascii="方正仿宋_GBK" w:eastAsia="方正仿宋_GBK"/>
          <w:color w:val="000000"/>
          <w:sz w:val="32"/>
          <w:szCs w:val="32"/>
        </w:rPr>
        <w:t>供应商</w:t>
      </w:r>
      <w:r>
        <w:rPr>
          <w:rFonts w:ascii="方正仿宋_GBK" w:eastAsia="方正仿宋_GBK" w:hint="eastAsia"/>
          <w:color w:val="000000"/>
          <w:sz w:val="32"/>
          <w:szCs w:val="32"/>
        </w:rPr>
        <w:t>。</w:t>
      </w:r>
    </w:p>
    <w:p>
      <w:pPr>
        <w:spacing w:line="560" w:lineRule="exact"/>
        <w:ind w:firstLineChars="200" w:firstLine="640"/>
        <w:rPr>
          <w:rFonts w:eastAsia="方正黑体_GBK" w:hint="eastAsia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五、报价</w:t>
      </w:r>
    </w:p>
    <w:p>
      <w:pPr>
        <w:pStyle w:val="18"/>
        <w:autoSpaceDN w:val="0"/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（一）报价函与报价明细表的报价不一致时，以报价函价格为准，报价大、小写不一致时，以大写价格为准。</w:t>
      </w:r>
    </w:p>
    <w:p>
      <w:pPr>
        <w:pStyle w:val="18"/>
        <w:autoSpaceDN w:val="0"/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（二）如评审小组认为供应商有必要对报价文件进行补充或澄清的，可要求供应商在规定时间内提交相关材料或作二次报价。</w:t>
      </w:r>
    </w:p>
    <w:p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六</w:t>
      </w:r>
      <w:r>
        <w:rPr>
          <w:rFonts w:eastAsia="方正黑体_GBK"/>
          <w:sz w:val="32"/>
          <w:szCs w:val="32"/>
        </w:rPr>
        <w:t>、</w:t>
      </w:r>
      <w:r>
        <w:rPr>
          <w:rFonts w:eastAsia="方正黑体_GBK" w:hint="eastAsia"/>
          <w:sz w:val="32"/>
          <w:szCs w:val="32"/>
        </w:rPr>
        <w:t>废标条件：</w:t>
      </w:r>
      <w:r>
        <w:rPr>
          <w:rFonts w:eastAsia="方正仿宋_GBK" w:hint="eastAsia"/>
          <w:sz w:val="32"/>
          <w:szCs w:val="32"/>
        </w:rPr>
        <w:t>通过评审的报价人</w:t>
      </w:r>
      <w:r>
        <w:rPr>
          <w:rFonts w:eastAsia="方正仿宋_GBK"/>
          <w:sz w:val="32"/>
          <w:szCs w:val="32"/>
        </w:rPr>
        <w:t>不足三家的</w:t>
      </w:r>
      <w:r>
        <w:rPr>
          <w:rFonts w:eastAsia="方正仿宋_GBK" w:hint="eastAsia"/>
          <w:sz w:val="32"/>
          <w:szCs w:val="32"/>
        </w:rPr>
        <w:t>可做</w:t>
      </w:r>
      <w:r>
        <w:rPr>
          <w:rFonts w:eastAsia="方正仿宋_GBK"/>
          <w:sz w:val="32"/>
          <w:szCs w:val="32"/>
        </w:rPr>
        <w:t>废标，</w:t>
      </w:r>
      <w:r>
        <w:rPr>
          <w:rFonts w:eastAsia="方正仿宋_GBK" w:hint="eastAsia"/>
          <w:sz w:val="32"/>
          <w:szCs w:val="32"/>
        </w:rPr>
        <w:t>采购人</w:t>
      </w:r>
      <w:r>
        <w:rPr>
          <w:rFonts w:eastAsia="方正仿宋_GBK"/>
          <w:sz w:val="32"/>
          <w:szCs w:val="32"/>
        </w:rPr>
        <w:t>重新组织</w:t>
      </w:r>
      <w:r>
        <w:rPr>
          <w:rFonts w:eastAsia="方正仿宋_GBK" w:hint="eastAsia"/>
          <w:sz w:val="32"/>
          <w:szCs w:val="32"/>
        </w:rPr>
        <w:t>采购</w:t>
      </w:r>
      <w:r>
        <w:rPr>
          <w:rFonts w:eastAsia="方正仿宋_GBK"/>
          <w:sz w:val="32"/>
          <w:szCs w:val="32"/>
        </w:rPr>
        <w:t>。</w:t>
      </w:r>
    </w:p>
    <w:p>
      <w:pPr>
        <w:spacing w:line="560" w:lineRule="exact"/>
        <w:ind w:firstLine="630"/>
        <w:rPr>
          <w:rFonts w:eastAsia="方正仿宋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七</w:t>
      </w:r>
      <w:r>
        <w:rPr>
          <w:rFonts w:eastAsia="方正黑体_GBK"/>
          <w:sz w:val="32"/>
          <w:szCs w:val="32"/>
        </w:rPr>
        <w:t>、评审地点</w:t>
      </w:r>
      <w:r>
        <w:rPr>
          <w:rFonts w:eastAsia="方正仿宋_GBK"/>
          <w:sz w:val="32"/>
          <w:szCs w:val="32"/>
        </w:rPr>
        <w:t>：</w:t>
      </w:r>
      <w:r>
        <w:rPr>
          <w:rFonts w:eastAsia="方正仿宋_GBK" w:hint="eastAsia"/>
          <w:sz w:val="32"/>
          <w:szCs w:val="32"/>
        </w:rPr>
        <w:t>广西北海市海城区西南大道中段6号北海海关</w:t>
      </w:r>
      <w:r>
        <w:rPr>
          <w:rFonts w:eastAsia="方正仿宋_GBK" w:hint="eastAsia"/>
          <w:sz w:val="32"/>
          <w:szCs w:val="32"/>
          <w:lang w:val="en-US" w:eastAsia="zh-CN"/>
        </w:rPr>
        <w:t>缉私分局517</w:t>
      </w:r>
      <w:r>
        <w:rPr>
          <w:rFonts w:eastAsia="方正仿宋_GBK" w:hint="eastAsia"/>
          <w:sz w:val="32"/>
          <w:szCs w:val="32"/>
        </w:rPr>
        <w:t>室。</w:t>
      </w:r>
    </w:p>
    <w:sectPr>
      <w:pgSz w:w="11906" w:h="16838"/>
      <w:pgMar w:top="1440" w:right="1800" w:bottom="1440" w:left="1800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roman"/>
    <w:pitch w:val="variable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Courier New">
    <w:altName w:val="DejaVu Sans"/>
    <w:panose1 w:val="02070409020205090404"/>
    <w:charset w:val="00"/>
    <w:family w:val="auto"/>
    <w:pitch w:val="variable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10"/>
  <w:doNotDisplayPageBoundaries/>
  <w:bordersDoNotSurroundHeader/>
  <w:bordersDoNotSurroundFooter/>
  <w:trackRevisions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>
    <w:docVar w:name="commondata" w:val="eyJoZGlkIjoiMDUzZmJlODg0ZmQ5MmZiMzQ3ODI4ZjViZjc1Mjk3NTg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8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styleId="19">
    <w:name w:val="index 8"/>
    <w:basedOn w:val="0"/>
    <w:autoRedefine/>
    <w:next w:val="0"/>
    <w:pPr>
      <w:ind w:left="2940"/>
    </w:pPr>
  </w:style>
  <w:style w:type="paragraph" w:customStyle="1" w:styleId="20">
    <w:name w:val="样式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1">
    <w:name w:val="样式 1 10 磅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customStyle="1" w:styleId="22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23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24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25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26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27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1 3000 0 1 1 1 1"/>
    <sectPr/>
  </customProps>
</customData>
</file>

<file path=customXml/itemProps1.xml><?xml version="1.0" encoding="utf-8"?>
<ds:datastoreItem xmlns:ds="http://schemas.openxmlformats.org/officeDocument/2006/customXml" ds:itemID="{D09A5BC3-4A03-4541-AE8B-4A9A1C82CE8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59</TotalTime>
  <Application>Yozo_Office27021597764231179</Application>
  <Pages>4</Pages>
  <Words>0</Words>
  <Characters>1056</Characters>
  <Lines>0</Lines>
  <Paragraphs>38</Paragraphs>
  <CharactersWithSpaces>1408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张顺</dc:creator>
  <cp:lastModifiedBy>利奇琪</cp:lastModifiedBy>
  <cp:revision>3</cp:revision>
  <cp:lastPrinted>2022-04-12T09:32:00Z</cp:lastPrinted>
  <dcterms:created xsi:type="dcterms:W3CDTF">2023-03-21T07:14:00Z</dcterms:created>
  <dcterms:modified xsi:type="dcterms:W3CDTF">2026-04-08T09:01:19Z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2052-12.1.0.15712</vt:lpwstr>
  </property>
  <property fmtid="{D5CDD505-2E9C-101B-9397-08002B2CF9AE}" pid="3" name="ICV">
    <vt:lpwstr>560F19B941CC40E6A8AC4C5DC2165994_13</vt:lpwstr>
  </property>
</Properties>
</file>