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40" w:lineRule="exact"/>
        <w:jc w:val="center"/>
        <w:rPr>
          <w:rFonts w:eastAsia="方正小标宋_GBK"/>
          <w:bCs/>
          <w:color w:val="000000"/>
          <w:sz w:val="32"/>
          <w:szCs w:val="32"/>
        </w:rPr>
      </w:pPr>
      <w:bookmarkStart w:id="0" w:name="_GoBack"/>
      <w:bookmarkEnd w:id="0"/>
      <w:r>
        <w:rPr>
          <w:rFonts w:eastAsia="方正小标宋_GBK"/>
          <w:bCs/>
          <w:color w:val="000000"/>
          <w:sz w:val="32"/>
          <w:szCs w:val="32"/>
        </w:rPr>
        <w:t>评</w:t>
      </w:r>
      <w:r>
        <w:rPr>
          <w:rFonts w:eastAsia="方正小标宋_GBK" w:hint="eastAsia"/>
          <w:bCs/>
          <w:color w:val="000000"/>
          <w:sz w:val="32"/>
          <w:szCs w:val="32"/>
        </w:rPr>
        <w:t>审</w:t>
      </w:r>
      <w:r>
        <w:rPr>
          <w:rFonts w:eastAsia="方正小标宋_GBK"/>
          <w:bCs/>
          <w:color w:val="000000"/>
          <w:sz w:val="32"/>
          <w:szCs w:val="32"/>
        </w:rPr>
        <w:t>办法</w:t>
      </w:r>
    </w:p>
    <w:p>
      <w:pPr>
        <w:spacing w:line="540" w:lineRule="exact"/>
        <w:jc w:val="center"/>
        <w:rPr>
          <w:rFonts w:ascii="方正小标宋_GBK" w:eastAsia="方正小标宋_GBK"/>
          <w:bCs/>
          <w:color w:val="000000"/>
          <w:sz w:val="28"/>
          <w:szCs w:val="28"/>
        </w:rPr>
      </w:pPr>
      <w:r>
        <w:rPr>
          <w:rFonts w:ascii="方正小标宋_GBK" w:eastAsia="方正小标宋_GBK" w:hint="eastAsia"/>
          <w:bCs/>
          <w:color w:val="000000"/>
          <w:sz w:val="28"/>
          <w:szCs w:val="28"/>
        </w:rPr>
        <w:t>（综合评分法）</w:t>
      </w:r>
    </w:p>
    <w:p>
      <w:pPr>
        <w:spacing w:line="480" w:lineRule="exact"/>
        <w:ind w:firstLineChars="200" w:firstLine="560"/>
        <w:rPr>
          <w:rFonts w:eastAsia="方正黑体_GBK"/>
          <w:color w:val="000000"/>
          <w:sz w:val="28"/>
          <w:szCs w:val="28"/>
        </w:rPr>
      </w:pPr>
      <w:r>
        <w:rPr>
          <w:rFonts w:eastAsia="方正黑体_GBK"/>
          <w:color w:val="000000"/>
          <w:sz w:val="28"/>
          <w:szCs w:val="28"/>
        </w:rPr>
        <w:t>一、</w:t>
      </w:r>
      <w:r>
        <w:rPr>
          <w:rFonts w:ascii="方正黑体_GBK" w:eastAsia="方正黑体_GBK" w:hint="eastAsia"/>
          <w:b/>
          <w:color w:val="000000"/>
          <w:sz w:val="28"/>
          <w:szCs w:val="28"/>
        </w:rPr>
        <w:t>响应文件送达及密封检查</w:t>
      </w:r>
    </w:p>
    <w:p>
      <w:pPr>
        <w:spacing w:line="480" w:lineRule="exact"/>
        <w:ind w:firstLineChars="200" w:firstLine="560"/>
        <w:rPr>
          <w:rFonts w:ascii="方正楷体_GBK" w:eastAsia="方正楷体_GBK"/>
          <w:b/>
          <w:color w:val="000000"/>
          <w:sz w:val="28"/>
          <w:szCs w:val="28"/>
        </w:rPr>
      </w:pPr>
      <w:r>
        <w:rPr>
          <w:rFonts w:ascii="方正楷体_GBK" w:eastAsia="方正楷体_GBK"/>
          <w:b/>
          <w:color w:val="000000"/>
          <w:sz w:val="28"/>
          <w:szCs w:val="28"/>
        </w:rPr>
        <w:t>（一）</w:t>
      </w:r>
      <w:r>
        <w:rPr>
          <w:rFonts w:ascii="方正楷体_GBK" w:eastAsia="方正楷体_GBK" w:hint="eastAsia"/>
          <w:b/>
          <w:color w:val="000000"/>
          <w:sz w:val="28"/>
          <w:szCs w:val="28"/>
        </w:rPr>
        <w:t>查看响应文件送达时间：</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在《采购公告》规定的</w:t>
      </w:r>
      <w:r>
        <w:rPr>
          <w:rFonts w:eastAsia="方正仿宋_GBK"/>
          <w:color w:val="000000"/>
          <w:sz w:val="28"/>
          <w:szCs w:val="28"/>
        </w:rPr>
        <w:t>报价截止时间之前将响应文件送达</w:t>
      </w:r>
      <w:r>
        <w:rPr>
          <w:rFonts w:eastAsia="方正仿宋_GBK" w:hint="eastAsia"/>
          <w:color w:val="000000"/>
          <w:sz w:val="28"/>
          <w:szCs w:val="28"/>
        </w:rPr>
        <w:t>。</w:t>
      </w:r>
    </w:p>
    <w:p>
      <w:pPr>
        <w:spacing w:line="480" w:lineRule="exact"/>
        <w:ind w:left="640"/>
        <w:rPr>
          <w:rFonts w:eastAsia="方正仿宋_GBK"/>
          <w:color w:val="000000"/>
          <w:sz w:val="28"/>
          <w:szCs w:val="28"/>
        </w:rPr>
      </w:pPr>
      <w:r>
        <w:rPr>
          <w:rFonts w:ascii="方正楷体_GBK" w:eastAsia="方正楷体_GBK"/>
          <w:b/>
          <w:color w:val="000000"/>
          <w:sz w:val="28"/>
          <w:szCs w:val="28"/>
        </w:rPr>
        <w:t>（</w:t>
      </w:r>
      <w:r>
        <w:rPr>
          <w:rFonts w:ascii="方正楷体_GBK" w:eastAsia="方正楷体_GBK" w:hint="eastAsia"/>
          <w:b/>
          <w:color w:val="000000"/>
          <w:sz w:val="28"/>
          <w:szCs w:val="28"/>
        </w:rPr>
        <w:t>二</w:t>
      </w:r>
      <w:r>
        <w:rPr>
          <w:rFonts w:ascii="方正楷体_GBK" w:eastAsia="方正楷体_GBK"/>
          <w:b/>
          <w:color w:val="000000"/>
          <w:sz w:val="28"/>
          <w:szCs w:val="28"/>
        </w:rPr>
        <w:t>）响应文件包装密封要求</w:t>
      </w:r>
      <w:r>
        <w:rPr>
          <w:rFonts w:eastAsia="方正仿宋_GBK"/>
          <w:color w:val="000000"/>
          <w:sz w:val="28"/>
          <w:szCs w:val="28"/>
        </w:rPr>
        <w:t>。</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供应商</w:t>
      </w:r>
      <w:r>
        <w:rPr>
          <w:rFonts w:eastAsia="方正仿宋_GBK"/>
          <w:color w:val="000000"/>
          <w:sz w:val="28"/>
          <w:szCs w:val="28"/>
        </w:rPr>
        <w:t>应将所有响应文件装在一个密封袋内，</w:t>
      </w:r>
      <w:r>
        <w:rPr>
          <w:rFonts w:eastAsia="方正仿宋_GBK" w:hint="eastAsia"/>
          <w:color w:val="000000"/>
          <w:sz w:val="28"/>
          <w:szCs w:val="28"/>
        </w:rPr>
        <w:t>响应文件</w:t>
      </w:r>
      <w:r>
        <w:rPr>
          <w:rFonts w:eastAsia="方正仿宋_GBK"/>
          <w:color w:val="000000"/>
          <w:sz w:val="28"/>
          <w:szCs w:val="28"/>
        </w:rPr>
        <w:t>密封袋的封口处应加贴封条并加盖</w:t>
      </w:r>
      <w:r>
        <w:rPr>
          <w:rFonts w:eastAsia="方正仿宋_GBK" w:hint="eastAsia"/>
          <w:color w:val="000000"/>
          <w:sz w:val="28"/>
          <w:szCs w:val="28"/>
        </w:rPr>
        <w:t>供应商</w:t>
      </w:r>
      <w:r>
        <w:rPr>
          <w:rFonts w:eastAsia="方正仿宋_GBK"/>
          <w:color w:val="000000"/>
          <w:sz w:val="28"/>
          <w:szCs w:val="28"/>
        </w:rPr>
        <w:t>法人单位公章以示密封。</w:t>
      </w:r>
    </w:p>
    <w:p>
      <w:pPr>
        <w:spacing w:line="480" w:lineRule="exact"/>
        <w:ind w:firstLineChars="200" w:firstLine="560"/>
        <w:rPr>
          <w:rFonts w:eastAsia="方正黑体_GBK"/>
          <w:color w:val="000000"/>
          <w:sz w:val="28"/>
          <w:szCs w:val="28"/>
        </w:rPr>
      </w:pPr>
      <w:r>
        <w:rPr>
          <w:rFonts w:eastAsia="方正黑体_GBK"/>
          <w:color w:val="000000"/>
          <w:sz w:val="28"/>
          <w:szCs w:val="28"/>
        </w:rPr>
        <w:t>二、资</w:t>
      </w:r>
      <w:r>
        <w:rPr>
          <w:rFonts w:eastAsia="方正黑体_GBK" w:hint="eastAsia"/>
          <w:color w:val="000000"/>
          <w:sz w:val="28"/>
          <w:szCs w:val="28"/>
        </w:rPr>
        <w:t>格审查</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具备《采购公告》中企业资质，通过审查不足3家的应废标，采购人</w:t>
      </w:r>
      <w:r>
        <w:rPr>
          <w:rFonts w:eastAsia="方正仿宋_GBK"/>
          <w:color w:val="000000"/>
          <w:sz w:val="28"/>
          <w:szCs w:val="28"/>
        </w:rPr>
        <w:t>重新组织</w:t>
      </w:r>
      <w:r>
        <w:rPr>
          <w:rFonts w:eastAsia="方正仿宋_GBK" w:hint="eastAsia"/>
          <w:color w:val="000000"/>
          <w:sz w:val="28"/>
          <w:szCs w:val="28"/>
        </w:rPr>
        <w:t>采购</w:t>
      </w:r>
      <w:r>
        <w:rPr>
          <w:rFonts w:eastAsia="方正仿宋_GBK"/>
          <w:color w:val="000000"/>
          <w:sz w:val="28"/>
          <w:szCs w:val="28"/>
        </w:rPr>
        <w:t>。</w:t>
      </w:r>
    </w:p>
    <w:p>
      <w:pPr>
        <w:spacing w:line="480" w:lineRule="exact"/>
        <w:ind w:left="640"/>
        <w:rPr>
          <w:rFonts w:eastAsia="方正黑体_GBK"/>
          <w:color w:val="000000"/>
          <w:sz w:val="28"/>
          <w:szCs w:val="28"/>
        </w:rPr>
      </w:pPr>
      <w:r>
        <w:rPr>
          <w:rFonts w:eastAsia="方正黑体_GBK" w:hint="eastAsia"/>
          <w:color w:val="000000"/>
          <w:sz w:val="28"/>
          <w:szCs w:val="28"/>
        </w:rPr>
        <w:t>三、</w:t>
      </w:r>
      <w:r>
        <w:rPr>
          <w:rFonts w:eastAsia="方正黑体_GBK"/>
          <w:color w:val="000000"/>
          <w:sz w:val="28"/>
          <w:szCs w:val="28"/>
        </w:rPr>
        <w:t>符合性审查</w:t>
      </w:r>
    </w:p>
    <w:p>
      <w:pPr>
        <w:spacing w:line="480" w:lineRule="exact"/>
        <w:ind w:left="640"/>
        <w:rPr>
          <w:rFonts w:ascii="方正楷体_GBK" w:eastAsia="方正楷体_GBK"/>
          <w:b/>
          <w:color w:val="000000"/>
          <w:sz w:val="28"/>
          <w:szCs w:val="28"/>
        </w:rPr>
      </w:pPr>
      <w:r>
        <w:rPr>
          <w:rFonts w:ascii="方正楷体_GBK" w:eastAsia="方正楷体_GBK"/>
          <w:b/>
          <w:sz w:val="28"/>
          <w:szCs w:val="28"/>
        </w:rPr>
        <w:t>（一）</w:t>
      </w:r>
      <w:r>
        <w:rPr>
          <w:rFonts w:ascii="方正楷体_GBK" w:eastAsia="方正楷体_GBK"/>
          <w:b/>
          <w:color w:val="000000"/>
          <w:sz w:val="28"/>
          <w:szCs w:val="28"/>
        </w:rPr>
        <w:t>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1.报价函（附件1，必须提供）；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3.声明（附件3，必须提供）；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w:t>
      </w:r>
      <w:r>
        <w:rPr>
          <w:rFonts w:eastAsia="方正仿宋_GBK" w:hint="eastAsia"/>
          <w:color w:val="000000"/>
          <w:sz w:val="28"/>
          <w:szCs w:val="28"/>
        </w:rPr>
        <w:t>“</w:t>
      </w:r>
      <w:r>
        <w:rPr>
          <w:rFonts w:eastAsia="方正仿宋_GBK"/>
          <w:color w:val="000000"/>
          <w:sz w:val="28"/>
          <w:szCs w:val="28"/>
        </w:rPr>
        <w:t>营业执照</w:t>
      </w:r>
      <w:r>
        <w:rPr>
          <w:rFonts w:eastAsia="方正仿宋_GBK" w:hint="eastAsia"/>
          <w:color w:val="000000"/>
          <w:sz w:val="28"/>
          <w:szCs w:val="28"/>
        </w:rPr>
        <w:t>”或“事业单位法人证书”</w:t>
      </w:r>
      <w:r>
        <w:rPr>
          <w:rFonts w:eastAsia="方正仿宋_GBK"/>
          <w:color w:val="000000"/>
          <w:sz w:val="28"/>
          <w:szCs w:val="28"/>
        </w:rPr>
        <w:t>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sz w:val="28"/>
          <w:szCs w:val="28"/>
        </w:rPr>
      </w:pPr>
      <w:r>
        <w:rPr>
          <w:rFonts w:eastAsia="方正仿宋_GBK"/>
          <w:color w:val="000000"/>
          <w:sz w:val="28"/>
          <w:szCs w:val="28"/>
        </w:rPr>
        <w:t>6.供应商的法人授权委托书、委托代理人身份证正反面复印件（委托代理时必</w:t>
      </w:r>
      <w:r>
        <w:rPr>
          <w:rFonts w:eastAsia="方正仿宋_GBK"/>
          <w:sz w:val="28"/>
          <w:szCs w:val="28"/>
        </w:rPr>
        <w:t>须提供，同时要加盖单位公章，否则被认定为资格审查不合格而报价无效）；</w:t>
      </w:r>
    </w:p>
    <w:p>
      <w:pPr>
        <w:spacing w:line="480" w:lineRule="exact"/>
        <w:ind w:leftChars="-1" w:left="-2" w:firstLineChars="221" w:firstLine="619"/>
        <w:rPr>
          <w:rFonts w:eastAsia="方正仿宋_GBK"/>
          <w:sz w:val="28"/>
          <w:szCs w:val="28"/>
        </w:rPr>
      </w:pPr>
      <w:r>
        <w:rPr>
          <w:rFonts w:eastAsia="方正仿宋_GBK"/>
          <w:sz w:val="28"/>
          <w:szCs w:val="28"/>
        </w:rPr>
        <w:t>7.“信用中国”（www.creditchina.gov.cn）信用报告</w:t>
      </w:r>
      <w:r>
        <w:rPr>
          <w:rFonts w:eastAsia="方正仿宋_GBK" w:hint="eastAsia"/>
          <w:sz w:val="28"/>
          <w:szCs w:val="28"/>
        </w:rPr>
        <w:t>及</w:t>
      </w:r>
      <w:r>
        <w:rPr>
          <w:rFonts w:eastAsia="方正仿宋_GBK"/>
          <w:sz w:val="28"/>
          <w:szCs w:val="28"/>
        </w:rPr>
        <w:t>中国政府采购网（www.ccgp.gov.cn）政府采购严重违法失信行为信息记录截图</w:t>
      </w:r>
      <w:r>
        <w:rPr>
          <w:rFonts w:ascii="方正仿宋_GBK" w:eastAsia="方正仿宋_GBK" w:hint="eastAsia"/>
          <w:sz w:val="28"/>
          <w:szCs w:val="28"/>
        </w:rPr>
        <w:t>（必须提供）</w:t>
      </w:r>
      <w:r>
        <w:rPr>
          <w:rFonts w:eastAsia="方正仿宋_GBK"/>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8.施工方案（必须提供）；</w:t>
      </w:r>
    </w:p>
    <w:p>
      <w:pPr>
        <w:spacing w:line="480" w:lineRule="exact"/>
        <w:ind w:leftChars="-1" w:left="-2" w:firstLineChars="221" w:firstLine="619"/>
        <w:rPr>
          <w:rFonts w:ascii="方正仿宋_GBK" w:eastAsia="方正仿宋_GBK"/>
          <w:sz w:val="28"/>
          <w:szCs w:val="28"/>
        </w:rPr>
      </w:pPr>
      <w:r>
        <w:rPr>
          <w:rFonts w:eastAsia="方正仿宋_GBK"/>
          <w:sz w:val="28"/>
          <w:szCs w:val="28"/>
        </w:rPr>
        <w:t>9.其他证</w:t>
      </w:r>
      <w:r>
        <w:rPr>
          <w:rFonts w:ascii="方正仿宋_GBK" w:eastAsia="方正仿宋_GBK" w:hint="eastAsia"/>
          <w:sz w:val="28"/>
          <w:szCs w:val="28"/>
        </w:rPr>
        <w:t>明文件的复印件（如有请提供）。</w:t>
      </w:r>
    </w:p>
    <w:p>
      <w:pPr>
        <w:spacing w:line="560" w:lineRule="exact"/>
        <w:ind w:leftChars="-1" w:left="-2" w:firstLineChars="200" w:firstLine="560"/>
        <w:rPr>
          <w:rFonts w:ascii="方正仿宋_GBK" w:eastAsia="方正仿宋_GBK"/>
          <w:sz w:val="28"/>
          <w:szCs w:val="28"/>
        </w:rPr>
      </w:pPr>
      <w:r>
        <w:rPr>
          <w:rFonts w:ascii="方正仿宋_GBK" w:eastAsia="方正仿宋_GBK" w:hint="eastAsia"/>
          <w:sz w:val="28"/>
          <w:szCs w:val="28"/>
        </w:rPr>
        <w:t>(注：响应文件须按照上述目录顺序装订成册，属于必须提供的材料均要加盖单位公章。响应文件副本材料须加盖封面章或骑缝章。）</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二</w:t>
      </w:r>
      <w:r>
        <w:rPr>
          <w:rFonts w:ascii="方正楷体_GBK" w:eastAsia="方正楷体_GBK"/>
          <w:b/>
          <w:sz w:val="28"/>
          <w:szCs w:val="28"/>
        </w:rPr>
        <w:t>）</w:t>
      </w:r>
      <w:r>
        <w:rPr>
          <w:rFonts w:eastAsia="方正仿宋_GBK" w:hint="eastAsia"/>
          <w:sz w:val="28"/>
          <w:szCs w:val="28"/>
        </w:rPr>
        <w:t>属于下列情形的，</w:t>
      </w:r>
      <w:r>
        <w:rPr>
          <w:rFonts w:eastAsia="方正仿宋_GBK"/>
          <w:sz w:val="28"/>
          <w:szCs w:val="28"/>
        </w:rPr>
        <w:t>不</w:t>
      </w:r>
      <w:r>
        <w:rPr>
          <w:rFonts w:eastAsia="方正仿宋_GBK" w:hint="eastAsia"/>
          <w:sz w:val="28"/>
          <w:szCs w:val="28"/>
        </w:rPr>
        <w:t>得</w:t>
      </w:r>
      <w:r>
        <w:rPr>
          <w:rFonts w:eastAsia="方正仿宋_GBK"/>
          <w:sz w:val="28"/>
          <w:szCs w:val="28"/>
        </w:rPr>
        <w:t>参加下一步</w:t>
      </w:r>
      <w:r>
        <w:rPr>
          <w:rFonts w:eastAsia="方正仿宋_GBK" w:hint="eastAsia"/>
          <w:sz w:val="28"/>
          <w:szCs w:val="28"/>
        </w:rPr>
        <w:t>详</w:t>
      </w:r>
      <w:r>
        <w:rPr>
          <w:rFonts w:eastAsia="方正仿宋_GBK"/>
          <w:sz w:val="28"/>
          <w:szCs w:val="28"/>
        </w:rPr>
        <w:t>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1.不</w:t>
      </w:r>
      <w:r>
        <w:rPr>
          <w:rFonts w:eastAsia="方正仿宋_GBK" w:hint="eastAsia"/>
          <w:sz w:val="28"/>
          <w:szCs w:val="28"/>
        </w:rPr>
        <w:t>满足</w:t>
      </w:r>
      <w:r>
        <w:rPr>
          <w:rFonts w:eastAsia="方正仿宋_GBK"/>
          <w:sz w:val="28"/>
          <w:szCs w:val="28"/>
        </w:rPr>
        <w:t>上述响应文件要求（标注必须提供的材料未提交的、提供资料不符合要求的）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2.</w:t>
      </w:r>
      <w:r>
        <w:rPr>
          <w:rFonts w:eastAsia="方正仿宋_GBK" w:hint="eastAsia"/>
          <w:sz w:val="28"/>
          <w:szCs w:val="28"/>
        </w:rPr>
        <w:t>报价</w:t>
      </w:r>
      <w:r>
        <w:rPr>
          <w:rFonts w:eastAsia="方正仿宋_GBK"/>
          <w:sz w:val="28"/>
          <w:szCs w:val="28"/>
        </w:rPr>
        <w:t>超过</w:t>
      </w:r>
      <w:r>
        <w:rPr>
          <w:rFonts w:eastAsia="方正仿宋_GBK" w:hint="eastAsia"/>
          <w:sz w:val="28"/>
          <w:szCs w:val="28"/>
        </w:rPr>
        <w:t>预算金额或</w:t>
      </w:r>
      <w:r>
        <w:rPr>
          <w:rFonts w:eastAsia="方正仿宋_GBK"/>
          <w:sz w:val="28"/>
          <w:szCs w:val="28"/>
        </w:rPr>
        <w:t>严重不平衡、不合理、低于其企业成本</w:t>
      </w:r>
      <w:r>
        <w:rPr>
          <w:rFonts w:eastAsia="方正仿宋_GBK" w:hint="eastAsia"/>
          <w:sz w:val="28"/>
          <w:szCs w:val="28"/>
        </w:rPr>
        <w:t>的；</w:t>
      </w:r>
    </w:p>
    <w:p>
      <w:pPr>
        <w:spacing w:line="480" w:lineRule="exact"/>
        <w:ind w:leftChars="-1" w:left="-2" w:firstLineChars="221" w:firstLine="619"/>
        <w:rPr>
          <w:rFonts w:ascii="方正仿宋_GBK" w:eastAsia="方正仿宋_GBK"/>
          <w:sz w:val="28"/>
          <w:szCs w:val="28"/>
        </w:rPr>
      </w:pPr>
      <w:r>
        <w:rPr>
          <w:rFonts w:eastAsia="方正仿宋_GBK"/>
          <w:sz w:val="28"/>
          <w:szCs w:val="28"/>
        </w:rPr>
        <w:t>3.</w:t>
      </w:r>
      <w:r>
        <w:rPr>
          <w:rFonts w:ascii="方正仿宋_GBK" w:eastAsia="方正仿宋_GBK" w:hint="eastAsia"/>
          <w:sz w:val="28"/>
          <w:szCs w:val="28"/>
        </w:rPr>
        <w:t>《采购公告》中列明无效报价的情形；</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三</w:t>
      </w:r>
      <w:r>
        <w:rPr>
          <w:rFonts w:ascii="方正楷体_GBK" w:eastAsia="方正楷体_GBK"/>
          <w:b/>
          <w:sz w:val="28"/>
          <w:szCs w:val="28"/>
        </w:rPr>
        <w:t>）</w:t>
      </w:r>
      <w:r>
        <w:rPr>
          <w:rFonts w:ascii="方正楷体_GBK" w:eastAsia="方正楷体_GBK" w:hint="eastAsia"/>
          <w:b/>
          <w:sz w:val="28"/>
          <w:szCs w:val="28"/>
        </w:rPr>
        <w:t xml:space="preserve"> </w:t>
      </w:r>
      <w:r>
        <w:rPr>
          <w:rFonts w:eastAsia="方正仿宋_GBK"/>
          <w:sz w:val="28"/>
          <w:szCs w:val="28"/>
        </w:rPr>
        <w:t>报价函</w:t>
      </w:r>
      <w:r>
        <w:rPr>
          <w:rFonts w:eastAsia="方正仿宋_GBK" w:hint="eastAsia"/>
          <w:sz w:val="28"/>
          <w:szCs w:val="28"/>
        </w:rPr>
        <w:t>与</w:t>
      </w:r>
      <w:r>
        <w:rPr>
          <w:rFonts w:eastAsia="方正仿宋_GBK"/>
          <w:sz w:val="28"/>
          <w:szCs w:val="28"/>
        </w:rPr>
        <w:t>报价明细表</w:t>
      </w:r>
      <w:r>
        <w:rPr>
          <w:rFonts w:eastAsia="方正仿宋_GBK" w:hint="eastAsia"/>
          <w:sz w:val="28"/>
          <w:szCs w:val="28"/>
        </w:rPr>
        <w:t>的报价不一致时，以报价函价格为准，报价大、小写不一致时，以大写价格为准。</w:t>
      </w:r>
    </w:p>
    <w:p>
      <w:pPr>
        <w:spacing w:line="480" w:lineRule="exact"/>
        <w:ind w:firstLineChars="200" w:firstLine="560"/>
        <w:rPr>
          <w:rFonts w:ascii="方正黑体_GBK" w:eastAsia="方正黑体_GBK"/>
          <w:sz w:val="28"/>
          <w:szCs w:val="28"/>
        </w:rPr>
      </w:pPr>
      <w:r>
        <w:rPr>
          <w:rFonts w:ascii="方正黑体_GBK" w:eastAsia="方正黑体_GBK" w:hint="eastAsia"/>
          <w:sz w:val="28"/>
          <w:szCs w:val="28"/>
        </w:rPr>
        <w:t>四、评审方法及评分标准</w:t>
      </w:r>
    </w:p>
    <w:p>
      <w:pPr>
        <w:spacing w:line="480" w:lineRule="exact"/>
        <w:ind w:firstLineChars="228" w:firstLine="638"/>
        <w:rPr>
          <w:rFonts w:eastAsia="方正仿宋_GBK"/>
          <w:sz w:val="28"/>
          <w:szCs w:val="28"/>
        </w:rPr>
      </w:pPr>
      <w:r>
        <w:rPr>
          <w:rFonts w:eastAsia="方正仿宋_GBK" w:hint="eastAsia"/>
          <w:sz w:val="28"/>
          <w:szCs w:val="28"/>
        </w:rPr>
        <w:t>通过符合性审查的供应商</w:t>
      </w:r>
      <w:r>
        <w:rPr>
          <w:rFonts w:eastAsia="方正仿宋_GBK"/>
          <w:sz w:val="28"/>
          <w:szCs w:val="28"/>
        </w:rPr>
        <w:t>不足</w:t>
      </w:r>
      <w:r>
        <w:rPr>
          <w:rFonts w:eastAsia="方正仿宋_GBK" w:hint="eastAsia"/>
          <w:sz w:val="28"/>
          <w:szCs w:val="28"/>
        </w:rPr>
        <w:t>3</w:t>
      </w:r>
      <w:r>
        <w:rPr>
          <w:rFonts w:eastAsia="方正仿宋_GBK"/>
          <w:sz w:val="28"/>
          <w:szCs w:val="28"/>
        </w:rPr>
        <w:t>家</w:t>
      </w:r>
      <w:r>
        <w:rPr>
          <w:rFonts w:eastAsia="方正仿宋_GBK" w:hint="eastAsia"/>
          <w:sz w:val="28"/>
          <w:szCs w:val="28"/>
        </w:rPr>
        <w:t>时，可继续评审。</w:t>
      </w:r>
    </w:p>
    <w:p>
      <w:pPr>
        <w:spacing w:line="480" w:lineRule="exact"/>
        <w:ind w:firstLineChars="228" w:firstLine="638"/>
        <w:rPr>
          <w:rFonts w:ascii="方正黑体_GBK" w:eastAsia="方正黑体_GBK"/>
          <w:strike/>
          <w:dstrike w:val="0"/>
          <w:color w:val="FF0000"/>
          <w:sz w:val="28"/>
          <w:szCs w:val="28"/>
        </w:rPr>
      </w:pPr>
      <w:r>
        <w:rPr>
          <w:rFonts w:eastAsia="方正仿宋_GBK" w:hint="eastAsia"/>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eastAsia="方正仿宋_GBK" w:hint="eastAsia"/>
          <w:color w:val="000000"/>
          <w:sz w:val="28"/>
          <w:szCs w:val="28"/>
        </w:rPr>
        <w:t>属于报价无效情形的，不予澄清。</w:t>
      </w:r>
    </w:p>
    <w:p>
      <w:pPr>
        <w:snapToGrid w:val="0"/>
        <w:spacing w:line="480" w:lineRule="exact"/>
        <w:ind w:firstLineChars="196" w:firstLine="549"/>
        <w:jc w:val="left"/>
        <w:rPr>
          <w:rFonts w:ascii="仿宋_GB2312" w:eastAsia="仿宋_GB2312" w:cs="Courier New"/>
          <w:b/>
          <w:color w:val="000000"/>
          <w:sz w:val="28"/>
          <w:szCs w:val="28"/>
        </w:rPr>
      </w:pPr>
      <w:r>
        <w:rPr>
          <w:rFonts w:ascii="仿宋_GB2312" w:eastAsia="仿宋_GB2312" w:cs="Courier New" w:hint="eastAsia"/>
          <w:b/>
          <w:color w:val="000000"/>
          <w:sz w:val="28"/>
          <w:szCs w:val="28"/>
        </w:rPr>
        <w:t>（一）评审方法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1.对进入详评的，采用百分制综合评分法。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2.计分办法（按四舍五入取至小数点后两位）。</w:t>
      </w:r>
    </w:p>
    <w:p>
      <w:pPr>
        <w:spacing w:line="480" w:lineRule="exact"/>
        <w:ind w:firstLineChars="200" w:firstLine="560"/>
        <w:rPr>
          <w:rFonts w:ascii="仿宋_GB2312" w:eastAsia="仿宋_GB2312" w:cs="Courier New"/>
          <w:b/>
          <w:sz w:val="28"/>
          <w:szCs w:val="28"/>
        </w:rPr>
      </w:pPr>
      <w:r>
        <w:rPr>
          <w:rFonts w:ascii="仿宋_GB2312" w:eastAsia="仿宋_GB2312" w:cs="Courier New" w:hint="eastAsia"/>
          <w:b/>
          <w:sz w:val="28"/>
          <w:szCs w:val="28"/>
        </w:rPr>
        <w:t>（二）评分标准</w:t>
      </w:r>
    </w:p>
    <w:tbl>
      <w:tblPr>
        <w:jc w:val="cente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92"/>
        <w:gridCol w:w="1280"/>
        <w:gridCol w:w="7226"/>
      </w:tblGrid>
      <w:tr>
        <w:trPr>
          <w:trHeight w:val="608"/>
        </w:trPr>
        <w:tc>
          <w:tcPr>
            <w:tcW w:w="492" w:type="dxa"/>
            <w:vAlign w:val="center"/>
          </w:tcPr>
          <w:p>
            <w:pPr>
              <w:jc w:val="center"/>
              <w:rPr>
                <w:rFonts w:ascii="宋体" w:cs="Arial"/>
                <w:b/>
                <w:sz w:val="24"/>
                <w:szCs w:val="24"/>
              </w:rPr>
            </w:pPr>
            <w:r>
              <w:rPr>
                <w:rFonts w:ascii="宋体" w:cs="Arial" w:hint="eastAsia"/>
                <w:b/>
                <w:sz w:val="24"/>
                <w:szCs w:val="24"/>
              </w:rPr>
              <w:t>序号</w:t>
            </w:r>
          </w:p>
        </w:tc>
        <w:tc>
          <w:tcPr>
            <w:tcW w:w="1280" w:type="dxa"/>
            <w:vAlign w:val="center"/>
          </w:tcPr>
          <w:p>
            <w:pPr>
              <w:jc w:val="center"/>
              <w:rPr>
                <w:rFonts w:ascii="宋体" w:cs="Arial"/>
                <w:b/>
                <w:sz w:val="24"/>
                <w:szCs w:val="24"/>
              </w:rPr>
            </w:pPr>
            <w:r>
              <w:rPr>
                <w:rFonts w:ascii="宋体" w:cs="Arial" w:hint="eastAsia"/>
                <w:b/>
                <w:sz w:val="24"/>
                <w:szCs w:val="24"/>
              </w:rPr>
              <w:t>评</w:t>
            </w:r>
            <w:r>
              <w:rPr>
                <w:rFonts w:ascii="宋体" w:cs="Arial"/>
                <w:b/>
                <w:sz w:val="24"/>
                <w:szCs w:val="24"/>
              </w:rPr>
              <w:t>分项</w:t>
            </w:r>
          </w:p>
        </w:tc>
        <w:tc>
          <w:tcPr>
            <w:tcW w:w="7226" w:type="dxa"/>
            <w:vAlign w:val="center"/>
          </w:tcPr>
          <w:p>
            <w:pPr>
              <w:jc w:val="center"/>
              <w:rPr>
                <w:rFonts w:ascii="宋体" w:cs="Arial"/>
                <w:b/>
                <w:sz w:val="24"/>
                <w:szCs w:val="24"/>
              </w:rPr>
            </w:pPr>
            <w:r>
              <w:rPr>
                <w:rFonts w:ascii="宋体" w:cs="Arial" w:hint="eastAsia"/>
                <w:b/>
                <w:sz w:val="24"/>
                <w:szCs w:val="24"/>
              </w:rPr>
              <w:t>评分标准</w:t>
            </w:r>
          </w:p>
        </w:tc>
      </w:tr>
      <w:tr>
        <w:trPr>
          <w:trHeight w:val="699"/>
        </w:trPr>
        <w:tc>
          <w:tcPr>
            <w:tcW w:w="492" w:type="dxa"/>
            <w:vAlign w:val="center"/>
          </w:tcPr>
          <w:p>
            <w:pPr>
              <w:spacing w:line="400" w:lineRule="exact"/>
              <w:jc w:val="center"/>
              <w:rPr>
                <w:rFonts w:ascii="宋体" w:eastAsia="宋体" w:cs="Arial"/>
                <w:sz w:val="24"/>
                <w:szCs w:val="24"/>
              </w:rPr>
            </w:pPr>
            <w:r>
              <w:rPr>
                <w:rFonts w:ascii="宋体" w:eastAsia="宋体" w:cs="Arial" w:hint="eastAsia"/>
                <w:sz w:val="24"/>
                <w:szCs w:val="24"/>
              </w:rPr>
              <w:t>1</w:t>
            </w:r>
          </w:p>
        </w:tc>
        <w:tc>
          <w:tcPr>
            <w:tcW w:w="1280" w:type="dxa"/>
            <w:vAlign w:val="center"/>
          </w:tcPr>
          <w:p>
            <w:pPr>
              <w:spacing w:line="400" w:lineRule="exact"/>
              <w:jc w:val="center"/>
              <w:rPr>
                <w:rFonts w:eastAsia="方正仿宋_GBK" w:cs="宋体"/>
                <w:b/>
                <w:bCs/>
                <w:sz w:val="24"/>
              </w:rPr>
            </w:pPr>
            <w:r>
              <w:rPr>
                <w:rFonts w:eastAsia="方正仿宋_GBK" w:cs="宋体" w:hint="eastAsia"/>
                <w:b/>
                <w:bCs/>
                <w:sz w:val="24"/>
              </w:rPr>
              <w:t>价格</w:t>
            </w:r>
            <w:r>
              <w:rPr>
                <w:rFonts w:eastAsia="方正仿宋_GBK" w:cs="宋体"/>
                <w:b/>
                <w:bCs/>
                <w:sz w:val="24"/>
              </w:rPr>
              <w:t>分</w:t>
            </w:r>
          </w:p>
          <w:p>
            <w:pPr>
              <w:spacing w:line="400" w:lineRule="exact"/>
              <w:ind w:firstLineChars="50" w:firstLine="120"/>
              <w:jc w:val="left"/>
              <w:rPr>
                <w:rFonts w:ascii="宋体" w:eastAsia="宋体" w:cs="Arial"/>
                <w:sz w:val="24"/>
                <w:szCs w:val="24"/>
              </w:rPr>
            </w:pPr>
            <w:r>
              <w:rPr>
                <w:rFonts w:ascii="宋体" w:eastAsia="宋体" w:cs="Arial" w:hint="eastAsia"/>
                <w:sz w:val="24"/>
                <w:szCs w:val="24"/>
              </w:rPr>
              <w:t>（</w:t>
            </w:r>
            <w:r>
              <w:rPr>
                <w:rFonts w:ascii="宋体" w:eastAsia="宋体" w:cs="Arial"/>
                <w:sz w:val="24"/>
                <w:szCs w:val="24"/>
              </w:rPr>
              <w:t>4</w:t>
            </w:r>
            <w:r>
              <w:rPr>
                <w:rFonts w:ascii="宋体" w:eastAsia="宋体" w:cs="Arial" w:hint="eastAsia"/>
                <w:sz w:val="24"/>
                <w:szCs w:val="24"/>
              </w:rPr>
              <w:t>0分）</w:t>
            </w:r>
          </w:p>
        </w:tc>
        <w:tc>
          <w:tcPr>
            <w:tcW w:w="7226" w:type="dxa"/>
            <w:vAlign w:val="center"/>
          </w:tcPr>
          <w:p>
            <w:pPr>
              <w:spacing w:line="400" w:lineRule="exact"/>
              <w:rPr>
                <w:rFonts w:ascii="宋体" w:eastAsia="宋体" w:cs="宋体" w:hint="eastAsia"/>
                <w:color w:val="000000"/>
                <w:kern w:val="0"/>
                <w:sz w:val="24"/>
                <w:szCs w:val="24"/>
              </w:rPr>
            </w:pPr>
            <w:r>
              <w:rPr>
                <w:rFonts w:ascii="宋体" w:eastAsia="宋体" w:cs="宋体" w:hint="eastAsia"/>
                <w:color w:val="000000"/>
                <w:kern w:val="0"/>
                <w:sz w:val="24"/>
                <w:szCs w:val="24"/>
              </w:rPr>
              <w:t>以满足采购文件要求，通过了资格性审查和符合性审查，且最后报价最低的供应商的价格为协商基准价，其价格分为满分。其他供应商的价格分统一按照下列公式计算：</w:t>
            </w:r>
          </w:p>
          <w:p>
            <w:pPr>
              <w:spacing w:line="400" w:lineRule="exact"/>
              <w:rPr>
                <w:rFonts w:ascii="宋体" w:cs="宋体" w:hint="eastAsia"/>
                <w:color w:val="000000"/>
                <w:kern w:val="0"/>
                <w:sz w:val="24"/>
                <w:szCs w:val="24"/>
              </w:rPr>
            </w:pPr>
            <w:r>
              <w:rPr>
                <w:rFonts w:ascii="宋体" w:eastAsia="宋体" w:cs="宋体" w:hint="eastAsia"/>
                <w:color w:val="000000"/>
                <w:kern w:val="0"/>
                <w:sz w:val="24"/>
                <w:szCs w:val="24"/>
              </w:rPr>
              <w:t>协商报价得分=（协商基准价/最后协商报价）×</w:t>
            </w:r>
            <w:r>
              <w:rPr>
                <w:rFonts w:ascii="宋体" w:eastAsia="宋体" w:cs="宋体"/>
                <w:color w:val="000000"/>
                <w:kern w:val="0"/>
                <w:sz w:val="24"/>
                <w:szCs w:val="24"/>
              </w:rPr>
              <w:t>4</w:t>
            </w:r>
            <w:r>
              <w:rPr>
                <w:rFonts w:ascii="宋体" w:eastAsia="宋体" w:cs="宋体" w:hint="eastAsia"/>
                <w:color w:val="000000"/>
                <w:kern w:val="0"/>
                <w:sz w:val="24"/>
                <w:szCs w:val="24"/>
              </w:rPr>
              <w:t>0</w:t>
            </w:r>
          </w:p>
        </w:tc>
      </w:tr>
      <w:tr>
        <w:trPr>
          <w:trHeight w:val="2797"/>
        </w:trPr>
        <w:tc>
          <w:tcPr>
            <w:tcW w:w="492" w:type="dxa"/>
            <w:vAlign w:val="center"/>
          </w:tcPr>
          <w:p>
            <w:pPr>
              <w:spacing w:line="400" w:lineRule="exact"/>
              <w:jc w:val="center"/>
              <w:rPr>
                <w:rFonts w:ascii="宋体" w:eastAsia="宋体" w:cs="Arial"/>
                <w:sz w:val="24"/>
                <w:szCs w:val="24"/>
              </w:rPr>
            </w:pPr>
            <w:r>
              <w:rPr>
                <w:rFonts w:ascii="宋体" w:eastAsia="宋体" w:cs="Arial" w:hint="eastAsia"/>
                <w:sz w:val="24"/>
                <w:szCs w:val="24"/>
              </w:rPr>
              <w:t>2</w:t>
            </w:r>
          </w:p>
        </w:tc>
        <w:tc>
          <w:tcPr>
            <w:tcW w:w="1280" w:type="dxa"/>
            <w:vAlign w:val="center"/>
          </w:tcPr>
          <w:p>
            <w:pPr>
              <w:spacing w:line="400" w:lineRule="exact"/>
              <w:jc w:val="center"/>
              <w:rPr>
                <w:rFonts w:eastAsia="方正仿宋_GBK" w:cs="宋体"/>
                <w:b/>
                <w:bCs/>
                <w:sz w:val="24"/>
              </w:rPr>
            </w:pPr>
            <w:r>
              <w:rPr>
                <w:rFonts w:eastAsia="方正仿宋_GBK" w:cs="宋体"/>
                <w:b/>
                <w:bCs/>
                <w:sz w:val="24"/>
              </w:rPr>
              <w:t>总体</w:t>
            </w:r>
            <w:r>
              <w:rPr>
                <w:rFonts w:eastAsia="方正仿宋_GBK" w:cs="宋体" w:hint="eastAsia"/>
                <w:b/>
                <w:bCs/>
                <w:sz w:val="24"/>
              </w:rPr>
              <w:t>方案</w:t>
            </w:r>
          </w:p>
          <w:p>
            <w:pPr>
              <w:spacing w:line="400" w:lineRule="exact"/>
              <w:jc w:val="center"/>
              <w:rPr>
                <w:rFonts w:eastAsia="方正仿宋_GBK" w:cs="宋体"/>
                <w:b/>
                <w:bCs/>
                <w:sz w:val="24"/>
              </w:rPr>
            </w:pPr>
            <w:r>
              <w:rPr>
                <w:rFonts w:ascii="宋体" w:eastAsia="宋体" w:cs="Arial" w:hint="eastAsia"/>
                <w:sz w:val="24"/>
                <w:szCs w:val="24"/>
              </w:rPr>
              <w:t>（</w:t>
            </w:r>
            <w:r>
              <w:rPr>
                <w:rFonts w:ascii="宋体" w:eastAsia="宋体" w:cs="Arial"/>
                <w:sz w:val="24"/>
                <w:szCs w:val="24"/>
              </w:rPr>
              <w:t>20</w:t>
            </w:r>
            <w:r>
              <w:rPr>
                <w:rFonts w:ascii="宋体" w:eastAsia="宋体" w:cs="Arial" w:hint="eastAsia"/>
                <w:sz w:val="24"/>
                <w:szCs w:val="24"/>
              </w:rPr>
              <w:t>分）</w:t>
            </w:r>
          </w:p>
        </w:tc>
        <w:tc>
          <w:tcPr>
            <w:tcW w:w="7226" w:type="dxa"/>
            <w:vAlign w:val="center"/>
          </w:tcPr>
          <w:p>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根据供应商的响应文件中所提供的</w:t>
            </w:r>
            <w:r>
              <w:rPr>
                <w:rFonts w:ascii="宋体" w:eastAsia="宋体" w:cs="宋体"/>
                <w:color w:val="000000"/>
                <w:kern w:val="0"/>
                <w:sz w:val="24"/>
                <w:szCs w:val="24"/>
              </w:rPr>
              <w:t>施工</w:t>
            </w:r>
            <w:r>
              <w:rPr>
                <w:rFonts w:ascii="宋体" w:eastAsia="宋体" w:cs="宋体" w:hint="eastAsia"/>
                <w:color w:val="000000"/>
                <w:kern w:val="0"/>
                <w:sz w:val="24"/>
                <w:szCs w:val="24"/>
              </w:rPr>
              <w:t>方案所体现出的完善性和成熟度进行评价：</w:t>
            </w:r>
          </w:p>
          <w:p>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一档（</w:t>
            </w:r>
            <w:r>
              <w:rPr>
                <w:rFonts w:ascii="宋体" w:eastAsia="宋体" w:cs="宋体"/>
                <w:color w:val="000000"/>
                <w:kern w:val="0"/>
                <w:sz w:val="24"/>
                <w:szCs w:val="24"/>
              </w:rPr>
              <w:t>20</w:t>
            </w:r>
            <w:r>
              <w:rPr>
                <w:rFonts w:ascii="宋体" w:eastAsia="宋体" w:cs="宋体" w:hint="eastAsia"/>
                <w:color w:val="000000"/>
                <w:kern w:val="0"/>
                <w:sz w:val="24"/>
                <w:szCs w:val="24"/>
              </w:rPr>
              <w:t>分）：</w:t>
            </w:r>
            <w:r>
              <w:rPr>
                <w:rFonts w:ascii="宋体" w:eastAsia="宋体" w:cs="宋体"/>
                <w:color w:val="000000"/>
                <w:kern w:val="0"/>
                <w:sz w:val="24"/>
                <w:szCs w:val="24"/>
              </w:rPr>
              <w:t>施工方案详尽周密，人员配备安排科学合理，很好满足本项目要求。</w:t>
            </w:r>
          </w:p>
          <w:p>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二档（</w:t>
            </w:r>
            <w:r>
              <w:rPr>
                <w:rFonts w:ascii="宋体" w:eastAsia="宋体" w:cs="宋体"/>
                <w:color w:val="000000"/>
                <w:kern w:val="0"/>
                <w:sz w:val="24"/>
                <w:szCs w:val="24"/>
              </w:rPr>
              <w:t>12分</w:t>
            </w:r>
            <w:r>
              <w:rPr>
                <w:rFonts w:ascii="宋体" w:eastAsia="宋体" w:cs="宋体" w:hint="eastAsia"/>
                <w:color w:val="000000"/>
                <w:kern w:val="0"/>
                <w:sz w:val="24"/>
                <w:szCs w:val="24"/>
              </w:rPr>
              <w:t>）：</w:t>
            </w:r>
            <w:r>
              <w:rPr>
                <w:rFonts w:ascii="宋体" w:eastAsia="宋体" w:cs="宋体"/>
                <w:color w:val="000000"/>
                <w:kern w:val="0"/>
                <w:sz w:val="24"/>
                <w:szCs w:val="24"/>
              </w:rPr>
              <w:t>施工方案较完善，人员分工安排明确，较好满足本项目要求。</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三</w:t>
            </w:r>
            <w:r>
              <w:rPr>
                <w:rFonts w:ascii="宋体" w:eastAsia="宋体" w:cs="宋体" w:hint="eastAsia"/>
                <w:color w:val="000000"/>
                <w:kern w:val="0"/>
                <w:sz w:val="24"/>
                <w:szCs w:val="24"/>
              </w:rPr>
              <w:t>档（</w:t>
            </w:r>
            <w:r>
              <w:rPr>
                <w:rFonts w:ascii="宋体" w:eastAsia="宋体" w:cs="宋体"/>
                <w:color w:val="000000"/>
                <w:kern w:val="0"/>
                <w:sz w:val="24"/>
                <w:szCs w:val="24"/>
              </w:rPr>
              <w:t>5分</w:t>
            </w:r>
            <w:r>
              <w:rPr>
                <w:rFonts w:ascii="宋体" w:eastAsia="宋体" w:cs="宋体" w:hint="eastAsia"/>
                <w:color w:val="000000"/>
                <w:kern w:val="0"/>
                <w:sz w:val="24"/>
                <w:szCs w:val="24"/>
              </w:rPr>
              <w:t>）：</w:t>
            </w:r>
            <w:r>
              <w:rPr>
                <w:rFonts w:ascii="宋体" w:eastAsia="宋体" w:cs="宋体"/>
                <w:color w:val="000000"/>
                <w:kern w:val="0"/>
                <w:sz w:val="24"/>
                <w:szCs w:val="24"/>
              </w:rPr>
              <w:t>施工方案比较简单，人员安排简单，基本满足本项目要求</w:t>
            </w:r>
            <w:r>
              <w:rPr>
                <w:rFonts w:ascii="宋体" w:eastAsia="宋体" w:cs="宋体" w:hint="eastAsia"/>
                <w:color w:val="000000"/>
                <w:kern w:val="0"/>
                <w:sz w:val="24"/>
                <w:szCs w:val="24"/>
              </w:rPr>
              <w:t>。</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无相应内容不得分。</w:t>
            </w:r>
          </w:p>
        </w:tc>
      </w:tr>
      <w:tr>
        <w:trPr>
          <w:trHeight w:val="1574"/>
        </w:trPr>
        <w:tc>
          <w:tcPr>
            <w:tcW w:w="492" w:type="dxa"/>
            <w:tcBorders>
              <w:tl2br w:val="nil"/>
              <w:tr2bl w:val="nil"/>
            </w:tcBorders>
            <w:vAlign w:val="center"/>
          </w:tcPr>
          <w:p>
            <w:pPr>
              <w:spacing w:line="400" w:lineRule="exact"/>
              <w:jc w:val="center"/>
              <w:rPr>
                <w:rFonts w:ascii="宋体" w:eastAsia="宋体" w:cs="Arial"/>
                <w:sz w:val="24"/>
                <w:szCs w:val="24"/>
              </w:rPr>
            </w:pPr>
            <w:r>
              <w:rPr>
                <w:rFonts w:ascii="宋体" w:eastAsia="宋体" w:cs="Arial"/>
                <w:sz w:val="24"/>
                <w:szCs w:val="24"/>
              </w:rPr>
              <w:t>3</w:t>
            </w:r>
          </w:p>
        </w:tc>
        <w:tc>
          <w:tcPr>
            <w:tcW w:w="1280" w:type="dxa"/>
            <w:vAlign w:val="center"/>
          </w:tcPr>
          <w:p>
            <w:pPr>
              <w:spacing w:line="400" w:lineRule="exact"/>
              <w:jc w:val="center"/>
              <w:rPr>
                <w:rFonts w:eastAsia="方正仿宋_GBK" w:cs="宋体"/>
                <w:b/>
                <w:bCs/>
                <w:sz w:val="24"/>
              </w:rPr>
            </w:pPr>
            <w:r>
              <w:rPr>
                <w:rFonts w:eastAsia="方正仿宋_GBK" w:cs="宋体"/>
                <w:b/>
                <w:bCs/>
                <w:sz w:val="24"/>
              </w:rPr>
              <w:t>计划安排</w:t>
            </w:r>
          </w:p>
          <w:p>
            <w:pPr>
              <w:spacing w:line="400" w:lineRule="exact"/>
              <w:jc w:val="center"/>
              <w:rPr>
                <w:rFonts w:eastAsia="方正仿宋_GBK" w:cs="宋体"/>
                <w:b/>
                <w:bCs/>
                <w:sz w:val="24"/>
              </w:rPr>
            </w:pPr>
            <w:r>
              <w:rPr>
                <w:rFonts w:ascii="宋体" w:eastAsia="宋体" w:cs="Arial" w:hint="eastAsia"/>
                <w:sz w:val="24"/>
                <w:szCs w:val="24"/>
              </w:rPr>
              <w:t>（</w:t>
            </w:r>
            <w:r>
              <w:rPr>
                <w:rFonts w:ascii="宋体" w:eastAsia="宋体" w:cs="Arial"/>
                <w:sz w:val="24"/>
                <w:szCs w:val="24"/>
              </w:rPr>
              <w:t>10</w:t>
            </w:r>
            <w:r>
              <w:rPr>
                <w:rFonts w:ascii="宋体" w:eastAsia="宋体" w:cs="Arial" w:hint="eastAsia"/>
                <w:sz w:val="24"/>
                <w:szCs w:val="24"/>
              </w:rPr>
              <w:t>分）</w:t>
            </w:r>
          </w:p>
        </w:tc>
        <w:tc>
          <w:tcPr>
            <w:tcW w:w="7226" w:type="dxa"/>
            <w:vAlign w:val="center"/>
          </w:tcPr>
          <w:p>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一档（</w:t>
            </w:r>
            <w:r>
              <w:rPr>
                <w:rFonts w:ascii="宋体" w:eastAsia="宋体" w:cs="宋体"/>
                <w:color w:val="000000"/>
                <w:kern w:val="0"/>
                <w:sz w:val="24"/>
                <w:szCs w:val="24"/>
              </w:rPr>
              <w:t>10</w:t>
            </w:r>
            <w:r>
              <w:rPr>
                <w:rFonts w:ascii="宋体" w:eastAsia="宋体" w:cs="宋体" w:hint="eastAsia"/>
                <w:color w:val="000000"/>
                <w:kern w:val="0"/>
                <w:sz w:val="24"/>
                <w:szCs w:val="24"/>
              </w:rPr>
              <w:t>分）：</w:t>
            </w:r>
            <w:r>
              <w:rPr>
                <w:rFonts w:ascii="宋体" w:eastAsia="宋体" w:cs="宋体"/>
                <w:color w:val="000000"/>
                <w:kern w:val="0"/>
                <w:sz w:val="24"/>
                <w:szCs w:val="24"/>
              </w:rPr>
              <w:t>计划安排详细，总工期符合要求，阶段划分合理明确，每日作业时间明确。</w:t>
            </w:r>
          </w:p>
          <w:p>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二档（</w:t>
            </w:r>
            <w:r>
              <w:rPr>
                <w:rFonts w:ascii="宋体" w:eastAsia="宋体" w:cs="宋体"/>
                <w:color w:val="000000"/>
                <w:kern w:val="0"/>
                <w:sz w:val="24"/>
                <w:szCs w:val="24"/>
              </w:rPr>
              <w:t>5</w:t>
            </w:r>
            <w:r>
              <w:rPr>
                <w:rFonts w:ascii="宋体" w:eastAsia="宋体" w:cs="宋体" w:hint="eastAsia"/>
                <w:color w:val="000000"/>
                <w:kern w:val="0"/>
                <w:sz w:val="24"/>
                <w:szCs w:val="24"/>
              </w:rPr>
              <w:t>分）：</w:t>
            </w:r>
            <w:r>
              <w:rPr>
                <w:rFonts w:ascii="宋体" w:eastAsia="宋体" w:cs="宋体"/>
                <w:color w:val="000000"/>
                <w:kern w:val="0"/>
                <w:sz w:val="24"/>
                <w:szCs w:val="24"/>
              </w:rPr>
              <w:t>计划安排简单，总工期符合要求。</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工期超出要求时限或无相应内容不得分。</w:t>
            </w:r>
          </w:p>
        </w:tc>
      </w:tr>
      <w:tr>
        <w:trPr>
          <w:trHeight w:val="1574"/>
        </w:trPr>
        <w:tc>
          <w:tcPr>
            <w:tcW w:w="492" w:type="dxa"/>
            <w:tcBorders>
              <w:tl2br w:val="nil"/>
              <w:tr2bl w:val="nil"/>
            </w:tcBorders>
            <w:vAlign w:val="center"/>
          </w:tcPr>
          <w:p>
            <w:pPr>
              <w:spacing w:line="400" w:lineRule="exact"/>
              <w:jc w:val="center"/>
              <w:rPr>
                <w:rFonts w:ascii="宋体" w:eastAsia="宋体" w:cs="Arial"/>
                <w:sz w:val="24"/>
                <w:szCs w:val="24"/>
              </w:rPr>
            </w:pPr>
            <w:r>
              <w:rPr>
                <w:rFonts w:ascii="宋体" w:eastAsia="宋体" w:cs="Arial"/>
                <w:sz w:val="24"/>
                <w:szCs w:val="24"/>
              </w:rPr>
              <w:t>4</w:t>
            </w:r>
          </w:p>
        </w:tc>
        <w:tc>
          <w:tcPr>
            <w:tcW w:w="1280" w:type="dxa"/>
            <w:vAlign w:val="center"/>
          </w:tcPr>
          <w:p>
            <w:pPr>
              <w:spacing w:line="400" w:lineRule="exact"/>
              <w:jc w:val="center"/>
              <w:rPr>
                <w:rFonts w:eastAsia="方正仿宋_GBK" w:cs="宋体"/>
                <w:b/>
                <w:bCs/>
                <w:sz w:val="24"/>
              </w:rPr>
            </w:pPr>
            <w:r>
              <w:rPr>
                <w:rFonts w:eastAsia="方正仿宋_GBK" w:cs="宋体"/>
                <w:b/>
                <w:bCs/>
                <w:sz w:val="24"/>
              </w:rPr>
              <w:t>质量保证</w:t>
            </w:r>
          </w:p>
          <w:p>
            <w:pPr>
              <w:spacing w:line="400" w:lineRule="exact"/>
              <w:jc w:val="center"/>
              <w:rPr>
                <w:rFonts w:eastAsia="方正仿宋_GBK" w:cs="宋体"/>
                <w:b/>
                <w:bCs/>
                <w:sz w:val="24"/>
              </w:rPr>
            </w:pPr>
            <w:r>
              <w:rPr>
                <w:rFonts w:ascii="宋体" w:eastAsia="宋体" w:cs="Arial" w:hint="eastAsia"/>
                <w:sz w:val="24"/>
                <w:szCs w:val="24"/>
              </w:rPr>
              <w:t>（</w:t>
            </w:r>
            <w:r>
              <w:rPr>
                <w:rFonts w:ascii="宋体" w:eastAsia="宋体" w:cs="Arial"/>
                <w:sz w:val="24"/>
                <w:szCs w:val="24"/>
              </w:rPr>
              <w:t>10</w:t>
            </w:r>
            <w:r>
              <w:rPr>
                <w:rFonts w:ascii="宋体" w:eastAsia="宋体" w:cs="Arial" w:hint="eastAsia"/>
                <w:sz w:val="24"/>
                <w:szCs w:val="24"/>
              </w:rPr>
              <w:t>分）</w:t>
            </w:r>
          </w:p>
        </w:tc>
        <w:tc>
          <w:tcPr>
            <w:tcW w:w="7226" w:type="dxa"/>
            <w:vAlign w:val="center"/>
          </w:tcPr>
          <w:p>
            <w:pPr>
              <w:spacing w:line="400" w:lineRule="exact"/>
              <w:rPr>
                <w:rFonts w:ascii="宋体" w:eastAsia="宋体" w:cs="宋体"/>
                <w:color w:val="000000"/>
                <w:kern w:val="0"/>
                <w:sz w:val="24"/>
                <w:szCs w:val="24"/>
              </w:rPr>
            </w:pPr>
            <w:r>
              <w:rPr>
                <w:rFonts w:ascii="宋体" w:eastAsia="宋体" w:cs="宋体"/>
                <w:color w:val="000000"/>
                <w:kern w:val="0"/>
                <w:sz w:val="24"/>
                <w:szCs w:val="24"/>
              </w:rPr>
              <w:t>一档（10分）：质量管理严格，材料入场、工序管控、验收标准等措施有效。</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二档（5分）：质量管理一般，各项措施简单。</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无相应内容不得分。</w:t>
            </w:r>
          </w:p>
        </w:tc>
      </w:tr>
      <w:tr>
        <w:trPr>
          <w:trHeight w:val="1574"/>
        </w:trPr>
        <w:tc>
          <w:tcPr>
            <w:tcW w:w="492" w:type="dxa"/>
            <w:tcBorders>
              <w:tl2br w:val="nil"/>
              <w:tr2bl w:val="nil"/>
            </w:tcBorders>
            <w:vAlign w:val="center"/>
          </w:tcPr>
          <w:p>
            <w:pPr>
              <w:spacing w:line="400" w:lineRule="exact"/>
              <w:jc w:val="center"/>
              <w:rPr>
                <w:rFonts w:ascii="宋体" w:eastAsia="宋体" w:cs="Arial"/>
                <w:sz w:val="24"/>
                <w:szCs w:val="24"/>
              </w:rPr>
            </w:pPr>
            <w:r>
              <w:rPr>
                <w:rFonts w:ascii="宋体" w:eastAsia="宋体" w:cs="Arial"/>
                <w:sz w:val="24"/>
                <w:szCs w:val="24"/>
              </w:rPr>
              <w:t>5</w:t>
            </w:r>
          </w:p>
        </w:tc>
        <w:tc>
          <w:tcPr>
            <w:tcW w:w="1280" w:type="dxa"/>
            <w:vAlign w:val="center"/>
          </w:tcPr>
          <w:p>
            <w:pPr>
              <w:spacing w:line="400" w:lineRule="exact"/>
              <w:jc w:val="center"/>
              <w:rPr>
                <w:rFonts w:eastAsia="方正仿宋_GBK" w:cs="宋体"/>
                <w:b/>
                <w:bCs/>
                <w:sz w:val="24"/>
              </w:rPr>
            </w:pPr>
            <w:r>
              <w:rPr>
                <w:rFonts w:eastAsia="方正仿宋_GBK" w:cs="宋体"/>
                <w:b/>
                <w:bCs/>
                <w:sz w:val="24"/>
              </w:rPr>
              <w:t>季节性施工</w:t>
            </w:r>
            <w:r>
              <w:rPr>
                <w:rFonts w:ascii="宋体" w:eastAsia="宋体" w:cs="Arial" w:hint="eastAsia"/>
                <w:sz w:val="24"/>
                <w:szCs w:val="24"/>
              </w:rPr>
              <w:t>（</w:t>
            </w:r>
            <w:r>
              <w:rPr>
                <w:rFonts w:ascii="宋体" w:eastAsia="宋体" w:cs="Arial"/>
                <w:sz w:val="24"/>
                <w:szCs w:val="24"/>
              </w:rPr>
              <w:t>10</w:t>
            </w:r>
            <w:r>
              <w:rPr>
                <w:rFonts w:ascii="宋体" w:eastAsia="宋体" w:cs="Arial" w:hint="eastAsia"/>
                <w:sz w:val="24"/>
                <w:szCs w:val="24"/>
              </w:rPr>
              <w:t>分）</w:t>
            </w:r>
          </w:p>
        </w:tc>
        <w:tc>
          <w:tcPr>
            <w:tcW w:w="7226" w:type="dxa"/>
            <w:vAlign w:val="center"/>
          </w:tcPr>
          <w:p>
            <w:pPr>
              <w:spacing w:line="400" w:lineRule="exact"/>
              <w:rPr>
                <w:rFonts w:ascii="宋体" w:eastAsia="宋体" w:cs="宋体"/>
                <w:color w:val="000000"/>
                <w:kern w:val="0"/>
                <w:sz w:val="24"/>
                <w:szCs w:val="24"/>
              </w:rPr>
            </w:pPr>
            <w:r>
              <w:rPr>
                <w:rFonts w:ascii="宋体" w:eastAsia="宋体" w:cs="宋体"/>
                <w:color w:val="000000"/>
                <w:kern w:val="0"/>
                <w:sz w:val="24"/>
                <w:szCs w:val="24"/>
              </w:rPr>
              <w:t>一档（10分）：具备针对性的雨季、高温条件施工应对方案措施。</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二档（5分）：雨季、高温条件施工措施简单。</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无相应内容不得分。</w:t>
            </w:r>
          </w:p>
        </w:tc>
      </w:tr>
      <w:tr>
        <w:trPr>
          <w:trHeight w:val="1575"/>
        </w:trPr>
        <w:tc>
          <w:tcPr>
            <w:tcW w:w="492" w:type="dxa"/>
            <w:tcBorders>
              <w:tl2br w:val="nil"/>
              <w:tr2bl w:val="nil"/>
            </w:tcBorders>
            <w:vAlign w:val="center"/>
          </w:tcPr>
          <w:p>
            <w:pPr>
              <w:spacing w:line="400" w:lineRule="exact"/>
              <w:jc w:val="center"/>
              <w:rPr>
                <w:rFonts w:ascii="宋体" w:eastAsia="宋体" w:cs="Arial"/>
                <w:sz w:val="24"/>
                <w:szCs w:val="24"/>
              </w:rPr>
            </w:pPr>
            <w:r>
              <w:rPr>
                <w:rFonts w:ascii="宋体" w:eastAsia="宋体" w:cs="Arial"/>
                <w:sz w:val="24"/>
                <w:szCs w:val="24"/>
              </w:rPr>
              <w:t>6</w:t>
            </w:r>
          </w:p>
        </w:tc>
        <w:tc>
          <w:tcPr>
            <w:tcW w:w="1280" w:type="dxa"/>
            <w:vAlign w:val="center"/>
          </w:tcPr>
          <w:p>
            <w:pPr>
              <w:spacing w:line="400" w:lineRule="exact"/>
              <w:jc w:val="center"/>
              <w:rPr>
                <w:rFonts w:ascii="宋体" w:eastAsia="宋体" w:cs="宋体"/>
                <w:sz w:val="24"/>
                <w:szCs w:val="24"/>
              </w:rPr>
            </w:pPr>
            <w:r>
              <w:rPr>
                <w:rFonts w:eastAsia="方正仿宋_GBK" w:cs="宋体"/>
                <w:b/>
                <w:bCs/>
                <w:sz w:val="24"/>
              </w:rPr>
              <w:t>安全施工</w:t>
            </w:r>
          </w:p>
          <w:p>
            <w:pPr>
              <w:spacing w:line="400" w:lineRule="exact"/>
              <w:jc w:val="center"/>
              <w:rPr>
                <w:rFonts w:ascii="宋体" w:eastAsia="宋体" w:cs="宋体"/>
                <w:sz w:val="24"/>
                <w:szCs w:val="24"/>
              </w:rPr>
            </w:pPr>
            <w:r>
              <w:rPr>
                <w:rFonts w:ascii="宋体" w:eastAsia="宋体" w:cs="Arial" w:hint="eastAsia"/>
                <w:sz w:val="24"/>
                <w:szCs w:val="24"/>
              </w:rPr>
              <w:t>（</w:t>
            </w:r>
            <w:r>
              <w:rPr>
                <w:rFonts w:ascii="宋体" w:eastAsia="宋体" w:cs="Arial"/>
                <w:sz w:val="24"/>
                <w:szCs w:val="24"/>
              </w:rPr>
              <w:t>10</w:t>
            </w:r>
            <w:r>
              <w:rPr>
                <w:rFonts w:ascii="宋体" w:eastAsia="宋体" w:cs="Arial" w:hint="eastAsia"/>
                <w:sz w:val="24"/>
                <w:szCs w:val="24"/>
              </w:rPr>
              <w:t>分）</w:t>
            </w:r>
          </w:p>
        </w:tc>
        <w:tc>
          <w:tcPr>
            <w:tcW w:w="7226" w:type="dxa"/>
            <w:vAlign w:val="center"/>
          </w:tcPr>
          <w:p>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一档（</w:t>
            </w:r>
            <w:r>
              <w:rPr>
                <w:rFonts w:ascii="宋体" w:eastAsia="宋体" w:cs="宋体"/>
                <w:color w:val="000000"/>
                <w:kern w:val="0"/>
                <w:sz w:val="24"/>
                <w:szCs w:val="24"/>
              </w:rPr>
              <w:t>10</w:t>
            </w:r>
            <w:r>
              <w:rPr>
                <w:rFonts w:ascii="宋体" w:eastAsia="宋体" w:cs="宋体" w:hint="eastAsia"/>
                <w:color w:val="000000"/>
                <w:kern w:val="0"/>
                <w:sz w:val="24"/>
                <w:szCs w:val="24"/>
              </w:rPr>
              <w:t>分）：</w:t>
            </w:r>
            <w:r>
              <w:rPr>
                <w:rFonts w:ascii="宋体" w:eastAsia="宋体" w:cs="宋体"/>
                <w:color w:val="000000"/>
                <w:kern w:val="0"/>
                <w:sz w:val="24"/>
                <w:szCs w:val="24"/>
              </w:rPr>
              <w:t>具备完善的安全保障措施，管线保护明确、安全警示设置到位、扬尘控制有效、垃圾清运及时等，有针对性的应急处置措施。</w:t>
            </w:r>
          </w:p>
          <w:p>
            <w:pPr>
              <w:spacing w:line="400" w:lineRule="exact"/>
              <w:rPr>
                <w:rFonts w:ascii="宋体" w:eastAsia="宋体" w:cs="宋体"/>
                <w:color w:val="000000"/>
                <w:kern w:val="0"/>
                <w:sz w:val="24"/>
                <w:szCs w:val="24"/>
              </w:rPr>
            </w:pPr>
            <w:r>
              <w:rPr>
                <w:rFonts w:ascii="宋体" w:eastAsia="宋体" w:cs="宋体" w:hint="eastAsia"/>
                <w:color w:val="000000"/>
                <w:kern w:val="0"/>
                <w:sz w:val="24"/>
                <w:szCs w:val="24"/>
              </w:rPr>
              <w:t>二档（</w:t>
            </w:r>
            <w:r>
              <w:rPr>
                <w:rFonts w:ascii="宋体" w:eastAsia="宋体" w:cs="宋体"/>
                <w:color w:val="000000"/>
                <w:kern w:val="0"/>
                <w:sz w:val="24"/>
                <w:szCs w:val="24"/>
              </w:rPr>
              <w:t>5</w:t>
            </w:r>
            <w:r>
              <w:rPr>
                <w:rFonts w:ascii="宋体" w:eastAsia="宋体" w:cs="宋体" w:hint="eastAsia"/>
                <w:color w:val="000000"/>
                <w:kern w:val="0"/>
                <w:sz w:val="24"/>
                <w:szCs w:val="24"/>
              </w:rPr>
              <w:t>分）：</w:t>
            </w:r>
            <w:r>
              <w:rPr>
                <w:rFonts w:ascii="宋体" w:eastAsia="宋体" w:cs="宋体"/>
                <w:color w:val="000000"/>
                <w:kern w:val="0"/>
                <w:sz w:val="24"/>
                <w:szCs w:val="24"/>
              </w:rPr>
              <w:t>安全保障措施及应急处置措施简单。</w:t>
            </w:r>
          </w:p>
          <w:p>
            <w:pPr>
              <w:spacing w:line="400" w:lineRule="exact"/>
              <w:rPr>
                <w:rFonts w:ascii="宋体" w:eastAsia="宋体" w:cs="宋体"/>
                <w:color w:val="000000"/>
                <w:kern w:val="0"/>
                <w:sz w:val="24"/>
                <w:szCs w:val="24"/>
              </w:rPr>
            </w:pPr>
            <w:r>
              <w:rPr>
                <w:rFonts w:ascii="宋体" w:eastAsia="宋体" w:cs="宋体"/>
                <w:color w:val="000000"/>
                <w:kern w:val="0"/>
                <w:sz w:val="24"/>
                <w:szCs w:val="24"/>
              </w:rPr>
              <w:t>无相应内容不得分。</w:t>
            </w:r>
          </w:p>
        </w:tc>
      </w:tr>
    </w:tbl>
    <w:p>
      <w:pPr>
        <w:snapToGrid w:val="0"/>
        <w:spacing w:line="480" w:lineRule="exact"/>
        <w:ind w:firstLineChars="196" w:firstLine="549"/>
        <w:jc w:val="left"/>
        <w:rPr>
          <w:rFonts w:ascii="仿宋_GB2312" w:eastAsia="仿宋_GB2312" w:cs="Courier New"/>
          <w:b/>
          <w:sz w:val="28"/>
          <w:szCs w:val="28"/>
        </w:rPr>
      </w:pPr>
      <w:r>
        <w:rPr>
          <w:rFonts w:ascii="仿宋_GB2312" w:eastAsia="仿宋_GB2312" w:cs="Courier New" w:hint="eastAsia"/>
          <w:b/>
          <w:sz w:val="28"/>
          <w:szCs w:val="28"/>
        </w:rPr>
        <w:t>（三）成交候选人确定/推荐原则</w:t>
      </w:r>
    </w:p>
    <w:p>
      <w:pPr>
        <w:snapToGrid w:val="0"/>
        <w:spacing w:line="480" w:lineRule="exact"/>
        <w:ind w:firstLineChars="200" w:firstLine="560"/>
        <w:jc w:val="left"/>
        <w:rPr>
          <w:rFonts w:ascii="方正仿宋_GBK" w:eastAsia="方正仿宋_GBK"/>
          <w:color w:val="000000"/>
          <w:sz w:val="28"/>
          <w:szCs w:val="28"/>
        </w:rPr>
      </w:pPr>
      <w:r>
        <w:rPr>
          <w:rFonts w:ascii="方正仿宋_GBK" w:eastAsia="方正仿宋_GBK" w:hint="eastAsia"/>
          <w:color w:val="000000"/>
          <w:sz w:val="28"/>
          <w:szCs w:val="28"/>
        </w:rPr>
        <w:t>评审小组将按总得分由高到低排列成交候选供应商顺序（总得分相同时，依次按报价低优先、</w:t>
      </w:r>
      <w:r>
        <w:rPr>
          <w:rFonts w:ascii="方正仿宋_GBK" w:eastAsia="方正仿宋_GBK"/>
          <w:color w:val="000000"/>
          <w:sz w:val="28"/>
          <w:szCs w:val="28"/>
        </w:rPr>
        <w:t>施工方案评分</w:t>
      </w:r>
      <w:r>
        <w:rPr>
          <w:rFonts w:ascii="方正仿宋_GBK" w:eastAsia="方正仿宋_GBK" w:hint="eastAsia"/>
          <w:color w:val="000000"/>
          <w:sz w:val="28"/>
          <w:szCs w:val="28"/>
        </w:rPr>
        <w:t>高优先、</w:t>
      </w:r>
      <w:r>
        <w:rPr>
          <w:rFonts w:ascii="方正仿宋_GBK" w:eastAsia="方正仿宋_GBK"/>
          <w:color w:val="000000"/>
          <w:sz w:val="28"/>
          <w:szCs w:val="28"/>
        </w:rPr>
        <w:t>业绩分高</w:t>
      </w:r>
      <w:r>
        <w:rPr>
          <w:rFonts w:ascii="方正仿宋_GBK" w:eastAsia="方正仿宋_GBK" w:hint="eastAsia"/>
          <w:color w:val="000000"/>
          <w:sz w:val="28"/>
          <w:szCs w:val="28"/>
        </w:rPr>
        <w:t>优先的顺序排列），并依照次序确定/推荐成交候选人。</w:t>
      </w:r>
    </w:p>
    <w:p>
      <w:pPr>
        <w:spacing w:line="480" w:lineRule="exact"/>
        <w:ind w:firstLine="630"/>
        <w:rPr>
          <w:rFonts w:eastAsia="方正仿宋_GBK"/>
          <w:sz w:val="28"/>
          <w:szCs w:val="28"/>
        </w:rPr>
      </w:pPr>
      <w:r>
        <w:rPr>
          <w:rFonts w:eastAsia="方正黑体_GBK" w:hint="eastAsia"/>
          <w:color w:val="000000"/>
          <w:sz w:val="28"/>
          <w:szCs w:val="28"/>
        </w:rPr>
        <w:t>六</w:t>
      </w:r>
      <w:r>
        <w:rPr>
          <w:rFonts w:eastAsia="方正黑体_GBK"/>
          <w:color w:val="000000"/>
          <w:sz w:val="28"/>
          <w:szCs w:val="28"/>
        </w:rPr>
        <w:t>、评审地点</w:t>
      </w:r>
      <w:r>
        <w:rPr>
          <w:rFonts w:eastAsia="方正仿宋_GBK"/>
          <w:color w:val="000000"/>
          <w:sz w:val="28"/>
          <w:szCs w:val="28"/>
        </w:rPr>
        <w:t>：钦州港</w:t>
      </w:r>
      <w:r>
        <w:rPr>
          <w:rFonts w:eastAsia="方正仿宋_GBK" w:hint="eastAsia"/>
          <w:color w:val="000000"/>
          <w:sz w:val="28"/>
          <w:szCs w:val="28"/>
        </w:rPr>
        <w:t>海关</w:t>
      </w:r>
      <w:r>
        <w:rPr>
          <w:rFonts w:eastAsia="方正仿宋_GBK"/>
          <w:color w:val="000000"/>
          <w:sz w:val="28"/>
          <w:szCs w:val="28"/>
        </w:rPr>
        <w:t>机关大楼A座615</w:t>
      </w:r>
      <w:r>
        <w:rPr>
          <w:rFonts w:eastAsia="方正仿宋_GBK"/>
          <w:sz w:val="28"/>
          <w:szCs w:val="28"/>
        </w:rPr>
        <w:t>室</w:t>
      </w:r>
      <w:r>
        <w:rPr>
          <w:rFonts w:eastAsia="方正仿宋_GBK" w:hint="eastAsia"/>
          <w:sz w:val="28"/>
          <w:szCs w:val="28"/>
        </w:rPr>
        <w:t>。</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10" w:usb3="00000000" w:csb0="00040000" w:csb1="00000000"/>
  </w:font>
  <w:font w:name="方正楷体_GBK">
    <w:altName w:val="微软雅黑"/>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1" w:usb1="080E0000" w:usb2="00000010" w:usb3="00000000" w:csb0="00040000" w:csb1="00000000"/>
  </w:font>
  <w:font w:name="Courier New">
    <w:altName w:val="DejaVu Sans"/>
    <w:panose1 w:val="02070309020205020404"/>
    <w:charset w:val="00"/>
    <w:family w:val="modern"/>
    <w:pitch w:val="variable"/>
    <w:sig w:usb0="E0002AFF" w:usb1="C0007843" w:usb2="00000009" w:usb3="00000000" w:csb0="000001FF" w:csb1="00000000"/>
  </w:font>
  <w:font w:name="宋体">
    <w:altName w:val="汉仪仿宋简"/>
    <w:panose1 w:val="02010600030101010101"/>
    <w:charset w:val="86"/>
    <w:family w:val="auto"/>
    <w:pitch w:val="variable"/>
    <w:sig w:usb0="00000003" w:usb1="288F0000" w:usb2="00000016" w:usb3="00000000" w:csb0="00040001" w:csb1="00000000"/>
  </w:font>
  <w:font w:name="Arial">
    <w:altName w:val="DejaVu Sans"/>
    <w:panose1 w:val="020B0604020202020204"/>
    <w:charset w:val="00"/>
    <w:family w:val="swiss"/>
    <w:pitch w:val="variable"/>
    <w:sig w:usb0="E0002AFF" w:usb1="C0007843" w:usb2="00000009" w:usb3="00000000" w:csb0="000001FF" w:csb1="00000000"/>
  </w:font>
  <w:font w:name="Times New Roman">
    <w:altName w:val="DejaVu Sans"/>
    <w:panose1 w:val="02020603050405020304"/>
    <w:charset w:val="00"/>
    <w:family w:val="roman"/>
    <w:pitch w:val="variable"/>
    <w:sig w:usb0="E0002AFF" w:usb1="C0007841" w:usb2="00000009" w:usb3="00000000" w:csb0="000001FF" w:csb1="00000000"/>
  </w:font>
  <w:font w:name="方正兰亭黑_GBK">
    <w:altName w:val="华文仿宋"/>
    <w:panose1 w:val="02000000000000000000"/>
    <w:charset w:val="86"/>
    <w:family w:val="script"/>
    <w:pitch w:val="variable"/>
    <w:sig w:usb0="A00002BF" w:usb1="3ACF7CFA" w:usb2="00080016" w:usb3="00000000" w:csb0="00040001" w:csb1="00000000"/>
  </w:font>
  <w:font w:name="黑体">
    <w:altName w:val="方正黑体_GBK"/>
    <w:panose1 w:val="00000000000000000000"/>
    <w:charset w:val="00"/>
    <w:family w:val="auto"/>
    <w:pitch w:val="variable"/>
    <w:sig w:usb0="00000000" w:usb1="00000000" w:usb2="00000000" w:usb3="00000000" w:csb0="00000000" w:csb1="00000000"/>
  </w:font>
  <w:font w:name="微软雅黑">
    <w:altName w:val="汉仪行楷简"/>
    <w:panose1 w:val="020B0503020204020204"/>
    <w:charset w:val="86"/>
    <w:family w:val="swiss"/>
    <w:pitch w:val="variable"/>
    <w:sig w:usb0="80000287" w:usb1="280F3C52" w:usb2="00000016" w:usb3="00000000" w:csb0="0004001F" w:csb1="00000000"/>
  </w:font>
  <w:font w:name="Calibri">
    <w:altName w:val="DejaVu Sans"/>
    <w:panose1 w:val="020F0502020204030204"/>
    <w:charset w:val="00"/>
    <w:family w:val="swiss"/>
    <w:pitch w:val="variable"/>
    <w:sig w:usb0="E10002FF" w:usb1="4000ACFF" w:usb2="00000009"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Balloon Text"/>
    <w:basedOn w:val="0"/>
    <w:rPr>
      <w:sz w:val="18"/>
      <w:szCs w:val="18"/>
    </w:rPr>
  </w:style>
  <w:style w:type="paragraph" w:styleId="18">
    <w:name w:val="Plain Text"/>
    <w:basedOn w:val="0"/>
    <w:rPr>
      <w:rFonts w:ascii="宋体"/>
    </w:rPr>
  </w:style>
  <w:style w:type="character" w:customStyle="1" w:styleId="19">
    <w:name w:val="纯文本 Char"/>
    <w:basedOn w:val="10"/>
    <w:rPr>
      <w:rFonts w:ascii="宋体" w:eastAsia="宋体" w:cs="Courier New"/>
      <w:szCs w:val="21"/>
    </w:rPr>
  </w:style>
  <w:style w:type="paragraph" w:styleId="20">
    <w:name w:val="Normal (Web)"/>
    <w:basedOn w:val="0"/>
    <w:pPr>
      <w:widowControl/>
      <w:spacing w:line="480" w:lineRule="auto"/>
      <w:jc w:val="left"/>
    </w:pPr>
    <w:rPr>
      <w:rFonts w:ascii="宋体" w:eastAsia="微软雅黑" w:cs="宋体" w:hAnsi="宋体"/>
      <w:kern w:val="0"/>
      <w:sz w:val="24"/>
      <w:szCs w:val="24"/>
    </w:rPr>
  </w:style>
  <w:style w:type="paragraph" w:customStyle="1" w:styleId="21">
    <w:name w:val="样式 22 10 磅"/>
    <w:pPr>
      <w:widowControl w:val="0"/>
      <w:jc w:val="both"/>
    </w:pPr>
    <w:rPr>
      <w:rFonts w:ascii="Calibri" w:eastAsia="宋体" w:cs="Times New Roman" w:hAnsi="Calibri"/>
      <w:kern w:val="2"/>
      <w:sz w:val="21"/>
      <w:szCs w:val="24"/>
      <w:lang w:val="en-US" w:eastAsia="zh-CN" w:bidi="ar-SA"/>
    </w:rPr>
  </w:style>
  <w:style w:type="paragraph" w:customStyle="1" w:styleId="22">
    <w:name w:val="样式 三号"/>
    <w:pPr>
      <w:spacing w:line="560" w:lineRule="exact"/>
      <w:ind w:firstLineChars="200" w:firstLine="200"/>
    </w:pPr>
    <w:rPr>
      <w:rFonts w:ascii="Times New Roman" w:eastAsia="方正仿宋_GBK" w:cs="Times New Roman" w:hAnsi="Times New Roman"/>
      <w:kern w:val="0"/>
      <w:sz w:val="32"/>
      <w:szCs w:val="22"/>
      <w:lang w:val="en-US" w:eastAsia="zh-CN" w:bidi="en-US"/>
    </w:rPr>
  </w:style>
  <w:style w:type="paragraph" w:customStyle="1" w:styleId="23">
    <w:name w:val="样式 24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1476</TotalTime>
  <Application>Yozo_Office</Application>
  <Pages>3</Pages>
  <Words>1607</Words>
  <Characters>1673</Characters>
  <Lines>103</Lines>
  <Paragraphs>75</Paragraphs>
  <CharactersWithSpaces>1674</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张顺</dc:creator>
  <cp:lastModifiedBy>王铖堃</cp:lastModifiedBy>
  <cp:revision>23</cp:revision>
  <cp:lastPrinted>2022-04-12T09:32:00Z</cp:lastPrinted>
  <dcterms:created xsi:type="dcterms:W3CDTF">2022-08-23T09:15:00Z</dcterms:created>
  <dcterms:modified xsi:type="dcterms:W3CDTF">2026-06-08T09:23:36Z</dcterms:modified>
</cp:coreProperties>
</file>