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ind w:left="0"/>
        <w:jc w:val="center"/>
        <w:rPr>
          <w:rFonts w:ascii="宋体" w:hint="eastAsia"/>
          <w:b/>
          <w:bCs/>
          <w:sz w:val="36"/>
          <w:szCs w:val="36"/>
        </w:rPr>
      </w:pPr>
      <w:bookmarkStart w:id="0" w:name="_GoBack"/>
      <w:bookmarkEnd w:id="0"/>
      <w:r>
        <w:rPr>
          <w:rFonts w:ascii="宋体"/>
          <w:b/>
          <w:bCs/>
          <w:sz w:val="36"/>
          <w:szCs w:val="36"/>
        </w:rPr>
        <w:t>采购需求</w:t>
      </w:r>
    </w:p>
    <w:p>
      <w:pPr>
        <w:pStyle w:val="15"/>
        <w:spacing w:line="560" w:lineRule="exact"/>
        <w:ind w:firstLineChars="200" w:firstLine="480"/>
        <w:rPr>
          <w:rFonts w:ascii="宋体" w:hint="eastAsia"/>
          <w:sz w:val="24"/>
          <w:szCs w:val="24"/>
        </w:rPr>
      </w:pPr>
    </w:p>
    <w:p>
      <w:pPr>
        <w:spacing w:line="500" w:lineRule="exact"/>
        <w:ind w:firstLineChars="200" w:firstLine="480"/>
        <w:rPr>
          <w:rFonts w:ascii="宋体" w:hint="eastAsia"/>
          <w:bCs/>
          <w:sz w:val="24"/>
        </w:rPr>
      </w:pPr>
      <w:r>
        <w:rPr>
          <w:rFonts w:ascii="宋体" w:hint="eastAsia"/>
          <w:b/>
          <w:bCs/>
          <w:sz w:val="24"/>
        </w:rPr>
        <w:t>一、项目名称：</w:t>
      </w:r>
      <w:r>
        <w:rPr>
          <w:rFonts w:ascii="宋体" w:hint="eastAsia"/>
          <w:bCs/>
          <w:sz w:val="24"/>
        </w:rPr>
        <w:t>凭祥海关综合技术服务中心实验室危险废物无害化处置项目</w:t>
      </w:r>
    </w:p>
    <w:p>
      <w:pPr>
        <w:pStyle w:val="16"/>
        <w:spacing w:after="0" w:line="500" w:lineRule="exact"/>
        <w:ind w:firstLineChars="200" w:firstLine="480"/>
        <w:rPr>
          <w:rFonts w:ascii="宋体" w:hint="eastAsia"/>
          <w:sz w:val="24"/>
          <w:lang w:eastAsia="zh-CN"/>
          <w:highlight w:val="auto"/>
        </w:rPr>
      </w:pPr>
      <w:r>
        <w:rPr>
          <w:rFonts w:ascii="宋体" w:hint="eastAsia"/>
          <w:b/>
          <w:bCs/>
          <w:sz w:val="24"/>
          <w:highlight w:val="auto"/>
        </w:rPr>
        <w:t>二、预算金额：</w:t>
      </w:r>
      <w:r>
        <w:rPr>
          <w:rFonts w:ascii="宋体" w:hint="eastAsia"/>
          <w:sz w:val="24"/>
          <w:lang w:val="en-US" w:eastAsia="zh-CN"/>
          <w:highlight w:val="auto"/>
        </w:rPr>
        <w:t>9.36</w:t>
      </w:r>
      <w:r>
        <w:rPr>
          <w:rFonts w:ascii="宋体" w:hint="eastAsia"/>
          <w:sz w:val="24"/>
          <w:lang w:eastAsia="zh-CN"/>
          <w:highlight w:val="auto"/>
        </w:rPr>
        <w:t>万元</w:t>
      </w:r>
      <w:r>
        <w:rPr>
          <w:rFonts w:ascii="宋体" w:hint="eastAsia"/>
          <w:sz w:val="24"/>
          <w:highlight w:val="auto"/>
        </w:rPr>
        <w:t>/年</w:t>
      </w:r>
      <w:r>
        <w:rPr>
          <w:rFonts w:ascii="宋体" w:hint="eastAsia"/>
          <w:sz w:val="24"/>
          <w:lang w:eastAsia="zh-CN"/>
          <w:highlight w:val="auto"/>
        </w:rPr>
        <w:t>。</w:t>
      </w:r>
    </w:p>
    <w:p>
      <w:pPr>
        <w:pStyle w:val="16"/>
        <w:spacing w:after="0" w:line="500" w:lineRule="exact"/>
        <w:ind w:firstLineChars="200" w:firstLine="480"/>
        <w:rPr>
          <w:rFonts w:ascii="宋体" w:hint="eastAsia"/>
          <w:sz w:val="24"/>
        </w:rPr>
      </w:pPr>
      <w:r>
        <w:rPr>
          <w:rFonts w:ascii="宋体" w:hint="eastAsia"/>
          <w:b/>
          <w:bCs/>
          <w:sz w:val="24"/>
        </w:rPr>
        <w:t>三、最高限价：</w:t>
      </w:r>
      <w:r>
        <w:rPr>
          <w:rFonts w:ascii="宋体" w:hint="eastAsia"/>
          <w:sz w:val="24"/>
          <w:lang w:val="en-US" w:eastAsia="zh-CN"/>
        </w:rPr>
        <w:t>9.36</w:t>
      </w:r>
      <w:r>
        <w:rPr>
          <w:rFonts w:ascii="宋体" w:hint="eastAsia"/>
          <w:sz w:val="24"/>
          <w:lang w:eastAsia="zh-CN"/>
        </w:rPr>
        <w:t>万元</w:t>
      </w:r>
      <w:r>
        <w:rPr>
          <w:rFonts w:ascii="宋体" w:hint="eastAsia"/>
          <w:sz w:val="24"/>
        </w:rPr>
        <w:t>/年</w:t>
      </w:r>
    </w:p>
    <w:p>
      <w:pPr>
        <w:pStyle w:val="16"/>
        <w:spacing w:after="0" w:line="500" w:lineRule="exact"/>
        <w:ind w:firstLineChars="200" w:firstLine="480"/>
        <w:rPr>
          <w:rFonts w:ascii="宋体" w:hint="eastAsia"/>
          <w:b/>
          <w:bCs/>
          <w:sz w:val="24"/>
        </w:rPr>
      </w:pPr>
      <w:r>
        <w:rPr>
          <w:rFonts w:ascii="宋体" w:hint="eastAsia"/>
          <w:b/>
          <w:bCs/>
          <w:sz w:val="24"/>
        </w:rPr>
        <w:t>四、采购服务内容</w:t>
      </w:r>
    </w:p>
    <w:p>
      <w:pPr>
        <w:pStyle w:val="15"/>
        <w:spacing w:line="500" w:lineRule="exact"/>
        <w:ind w:firstLineChars="200" w:firstLine="480"/>
        <w:rPr>
          <w:rFonts w:ascii="宋体" w:hint="eastAsia"/>
          <w:sz w:val="24"/>
          <w:szCs w:val="24"/>
        </w:rPr>
      </w:pPr>
      <w:r>
        <w:rPr>
          <w:rFonts w:ascii="宋体" w:hint="eastAsia"/>
          <w:sz w:val="24"/>
          <w:szCs w:val="24"/>
        </w:rPr>
        <w:t>无害化处置实验室危险废弃物，预计危险废物名称和数量如下：约</w:t>
      </w:r>
      <w:r>
        <w:rPr>
          <w:rFonts w:ascii="宋体" w:hint="eastAsia"/>
          <w:sz w:val="24"/>
          <w:szCs w:val="24"/>
          <w:lang w:val="en-US" w:eastAsia="zh-CN"/>
        </w:rPr>
        <w:t>2.6</w:t>
      </w:r>
      <w:r>
        <w:rPr>
          <w:rFonts w:ascii="宋体" w:hint="eastAsia"/>
          <w:sz w:val="24"/>
          <w:szCs w:val="24"/>
        </w:rPr>
        <w:t>吨/年，分2次处置。</w:t>
      </w:r>
    </w:p>
    <w:p>
      <w:pPr>
        <w:spacing w:line="500" w:lineRule="exact"/>
        <w:ind w:firstLineChars="200" w:firstLine="480"/>
        <w:rPr>
          <w:rFonts w:ascii="宋体" w:hint="eastAsia"/>
          <w:sz w:val="24"/>
        </w:rPr>
      </w:pPr>
      <w:r>
        <w:rPr>
          <w:rFonts w:ascii="宋体" w:hint="eastAsia"/>
          <w:sz w:val="24"/>
        </w:rPr>
        <w:t>处置代码为：</w:t>
      </w:r>
    </w:p>
    <w:p>
      <w:pPr>
        <w:spacing w:line="500" w:lineRule="exact"/>
        <w:ind w:left="0" w:firstLineChars="200" w:firstLine="480"/>
        <w:rPr>
          <w:rFonts w:ascii="宋体" w:hint="eastAsia"/>
          <w:sz w:val="24"/>
          <w:lang w:val="en-US" w:eastAsia="zh-CN"/>
        </w:rPr>
      </w:pPr>
      <w:r>
        <w:rPr>
          <w:rFonts w:ascii="宋体" w:hint="eastAsia"/>
          <w:sz w:val="24"/>
          <w:lang w:eastAsia="zh-CN"/>
        </w:rPr>
        <w:t>（</w:t>
      </w:r>
      <w:r>
        <w:rPr>
          <w:rFonts w:ascii="宋体" w:hint="eastAsia"/>
          <w:sz w:val="24"/>
          <w:lang w:val="en-US" w:eastAsia="zh-CN"/>
        </w:rPr>
        <w:t>1</w:t>
      </w:r>
      <w:r>
        <w:rPr>
          <w:rFonts w:ascii="宋体" w:hint="eastAsia"/>
          <w:sz w:val="24"/>
          <w:lang w:eastAsia="zh-CN"/>
        </w:rPr>
        <w:t>）包装化学品的容器HW49(900-</w:t>
      </w:r>
      <w:r>
        <w:rPr>
          <w:rFonts w:ascii="宋体" w:hint="eastAsia"/>
          <w:sz w:val="24"/>
          <w:lang w:val="en-US" w:eastAsia="zh-CN"/>
        </w:rPr>
        <w:t>047</w:t>
      </w:r>
      <w:r>
        <w:rPr>
          <w:rFonts w:ascii="宋体" w:hint="eastAsia"/>
          <w:sz w:val="24"/>
          <w:lang w:eastAsia="zh-CN"/>
        </w:rPr>
        <w:t>-49)类危险废物</w:t>
      </w:r>
    </w:p>
    <w:p>
      <w:pPr>
        <w:spacing w:line="500" w:lineRule="exact"/>
        <w:ind w:left="0" w:firstLineChars="200" w:firstLine="480"/>
        <w:rPr>
          <w:rFonts w:ascii="宋体" w:hint="eastAsia"/>
          <w:sz w:val="24"/>
        </w:rPr>
      </w:pPr>
      <w:r>
        <w:rPr>
          <w:rFonts w:ascii="宋体" w:hint="eastAsia"/>
          <w:sz w:val="24"/>
          <w:lang w:eastAsia="zh-CN"/>
        </w:rPr>
        <w:t>（</w:t>
      </w:r>
      <w:r>
        <w:rPr>
          <w:rFonts w:ascii="宋体" w:hint="eastAsia"/>
          <w:sz w:val="24"/>
          <w:lang w:val="en-US" w:eastAsia="zh-CN"/>
        </w:rPr>
        <w:t>2</w:t>
      </w:r>
      <w:r>
        <w:rPr>
          <w:rFonts w:ascii="宋体" w:hint="eastAsia"/>
          <w:sz w:val="24"/>
          <w:lang w:eastAsia="zh-CN"/>
        </w:rPr>
        <w:t>）</w:t>
      </w:r>
      <w:r>
        <w:rPr>
          <w:rFonts w:ascii="宋体" w:hint="eastAsia"/>
          <w:sz w:val="24"/>
        </w:rPr>
        <w:t>废弃的一次性实验用品HW49（900-047-49）类危险废物</w:t>
      </w:r>
    </w:p>
    <w:p>
      <w:pPr>
        <w:spacing w:line="500" w:lineRule="exact"/>
        <w:ind w:left="0" w:firstLineChars="200" w:firstLine="480"/>
        <w:rPr>
          <w:rFonts w:ascii="宋体" w:hint="eastAsia"/>
          <w:sz w:val="24"/>
        </w:rPr>
      </w:pPr>
      <w:r>
        <w:rPr>
          <w:rFonts w:ascii="宋体" w:hint="eastAsia"/>
          <w:sz w:val="24"/>
          <w:lang w:eastAsia="zh-CN"/>
        </w:rPr>
        <w:t>（</w:t>
      </w:r>
      <w:r>
        <w:rPr>
          <w:rFonts w:ascii="宋体" w:hint="eastAsia"/>
          <w:sz w:val="24"/>
          <w:lang w:val="en-US" w:eastAsia="zh-CN"/>
        </w:rPr>
        <w:t>3</w:t>
      </w:r>
      <w:r>
        <w:rPr>
          <w:rFonts w:ascii="宋体" w:hint="eastAsia"/>
          <w:sz w:val="24"/>
          <w:lang w:eastAsia="zh-CN"/>
        </w:rPr>
        <w:t>）</w:t>
      </w:r>
      <w:r>
        <w:rPr>
          <w:rFonts w:ascii="宋体" w:hint="eastAsia"/>
          <w:sz w:val="24"/>
        </w:rPr>
        <w:t>实验室废液HW49（900-047-49）类危险废物</w:t>
      </w:r>
    </w:p>
    <w:p>
      <w:pPr>
        <w:spacing w:line="500" w:lineRule="exact"/>
        <w:ind w:left="0" w:firstLineChars="200" w:firstLine="480"/>
        <w:rPr>
          <w:rFonts w:ascii="宋体" w:hint="eastAsia"/>
          <w:sz w:val="24"/>
        </w:rPr>
      </w:pPr>
      <w:r>
        <w:rPr>
          <w:rFonts w:ascii="宋体" w:hint="eastAsia"/>
          <w:sz w:val="24"/>
          <w:lang w:val="en-US" w:eastAsia="zh-CN"/>
        </w:rPr>
        <w:t>（4）</w:t>
      </w:r>
      <w:r>
        <w:rPr>
          <w:rFonts w:ascii="宋体" w:hint="eastAsia"/>
          <w:sz w:val="24"/>
        </w:rPr>
        <w:t>过期、废弃不用的试剂HW49（900-</w:t>
      </w:r>
      <w:r>
        <w:rPr>
          <w:rFonts w:ascii="宋体" w:hint="eastAsia"/>
          <w:sz w:val="24"/>
          <w:lang w:val="en-US" w:eastAsia="zh-CN"/>
        </w:rPr>
        <w:t>999</w:t>
      </w:r>
      <w:r>
        <w:rPr>
          <w:rFonts w:ascii="宋体" w:hint="eastAsia"/>
          <w:sz w:val="24"/>
        </w:rPr>
        <w:t>-49）类危险废物</w:t>
      </w:r>
    </w:p>
    <w:p>
      <w:pPr>
        <w:spacing w:line="500" w:lineRule="exact"/>
        <w:ind w:left="0" w:firstLineChars="200" w:firstLine="480"/>
        <w:rPr>
          <w:rFonts w:ascii="宋体" w:hint="eastAsia"/>
          <w:sz w:val="24"/>
        </w:rPr>
      </w:pPr>
      <w:r>
        <w:rPr>
          <w:rFonts w:ascii="宋体" w:hint="eastAsia"/>
          <w:sz w:val="24"/>
          <w:lang w:val="en-US" w:eastAsia="zh-CN"/>
        </w:rPr>
        <w:t>（5）</w:t>
      </w:r>
      <w:r>
        <w:rPr>
          <w:rFonts w:ascii="宋体" w:hint="eastAsia"/>
          <w:sz w:val="24"/>
        </w:rPr>
        <w:t>危险废物清理过程中产生的残渣HW49(772-006-49)类危险废物等</w:t>
      </w:r>
    </w:p>
    <w:p>
      <w:pPr>
        <w:spacing w:line="500" w:lineRule="exact"/>
        <w:ind w:firstLineChars="200" w:firstLine="480"/>
        <w:rPr>
          <w:rFonts w:ascii="宋体" w:hint="eastAsia"/>
          <w:sz w:val="24"/>
        </w:rPr>
      </w:pPr>
      <w:r>
        <w:rPr>
          <w:rFonts w:ascii="宋体" w:hint="eastAsia"/>
          <w:sz w:val="24"/>
        </w:rPr>
        <w:t>无害化处置实验室危险废物应按《国家危险废物名录》要求分类处置并进行接收、装卸、运输、鉴别、处置，并对运送设备进行清洗、消毒等服务工作，防止危险废物在接收、运输、处置过程中造成二次污染或流失。</w:t>
      </w:r>
    </w:p>
    <w:p>
      <w:pPr>
        <w:pStyle w:val="16"/>
        <w:spacing w:after="0" w:line="500" w:lineRule="exact"/>
        <w:ind w:firstLineChars="200" w:firstLine="480"/>
        <w:rPr>
          <w:rFonts w:ascii="宋体" w:hint="eastAsia"/>
          <w:b/>
          <w:bCs/>
          <w:sz w:val="24"/>
        </w:rPr>
      </w:pPr>
      <w:r>
        <w:rPr>
          <w:rFonts w:ascii="宋体" w:hint="eastAsia"/>
          <w:b/>
          <w:bCs/>
          <w:sz w:val="24"/>
        </w:rPr>
        <w:t>五、服务要求</w:t>
      </w:r>
    </w:p>
    <w:p>
      <w:pPr>
        <w:pStyle w:val="16"/>
        <w:spacing w:after="0" w:line="500" w:lineRule="exact"/>
        <w:ind w:firstLineChars="200" w:firstLine="480"/>
        <w:rPr>
          <w:rFonts w:ascii="宋体" w:hint="eastAsia"/>
          <w:sz w:val="24"/>
        </w:rPr>
      </w:pPr>
      <w:r>
        <w:rPr>
          <w:rFonts w:ascii="宋体" w:hint="eastAsia"/>
          <w:sz w:val="24"/>
        </w:rPr>
        <w:t>1.采购人生产过程中产生的危险废物定期交付竞标人进行处置（包括但不限于实验室废液、残液等），竞标人指定专人与采购人对接处置事宜，接到采购人处置申请后，竞标人在5个工作日内安排符合危险废物运输标准的车辆前往采购人指定地点回收危险废物，并由竞标人工作人员装车回收，运往竞标人指定地点处置危险废物。并提供符合国家计量检定的称重计量设备，对危险废物进行计量，双方现场签字确认。</w:t>
      </w:r>
    </w:p>
    <w:p>
      <w:pPr>
        <w:pStyle w:val="16"/>
        <w:spacing w:after="0" w:line="500" w:lineRule="exact"/>
        <w:ind w:firstLineChars="200" w:firstLine="480"/>
        <w:rPr>
          <w:rFonts w:ascii="宋体" w:hint="eastAsia"/>
          <w:sz w:val="24"/>
        </w:rPr>
      </w:pPr>
      <w:r>
        <w:rPr>
          <w:rFonts w:ascii="宋体" w:hint="eastAsia"/>
          <w:sz w:val="24"/>
        </w:rPr>
        <w:t>竞标人应具备《危险废物经营许可证》，</w:t>
      </w:r>
      <w:r>
        <w:rPr>
          <w:rFonts w:ascii="宋体" w:hint="eastAsia"/>
          <w:sz w:val="24"/>
          <w:lang w:val="en-US" w:eastAsia="zh-CN"/>
          <w:highlight w:val="auto"/>
        </w:rPr>
        <w:t>同时具备以上处置资质代码，</w:t>
      </w:r>
      <w:r>
        <w:rPr>
          <w:rFonts w:ascii="宋体" w:hint="eastAsia"/>
          <w:color w:val="000000"/>
          <w:sz w:val="24"/>
          <w14:textFill>
            <w14:solidFill>
              <w14:srgbClr w14:val="000000"/>
            </w14:solidFill>
          </w14:textFill>
          <w:lang w:val="en-US" w:eastAsia="zh-CN"/>
          <w:highlight w:val="auto"/>
        </w:rPr>
        <w:t>且有效期在1年以上</w:t>
      </w:r>
      <w:r>
        <w:rPr>
          <w:rFonts w:ascii="宋体" w:hint="eastAsia"/>
          <w:sz w:val="24"/>
          <w:lang w:val="en-US" w:eastAsia="zh-CN"/>
          <w:highlight w:val="auto"/>
        </w:rPr>
        <w:t>。</w:t>
      </w:r>
      <w:r>
        <w:rPr>
          <w:rFonts w:ascii="宋体" w:hint="eastAsia"/>
          <w:sz w:val="24"/>
          <w:highlight w:val="auto"/>
        </w:rPr>
        <w:t>在危险废物转移过程中应当采取防扬散、防流失、防渗漏或者其他</w:t>
      </w:r>
      <w:r>
        <w:rPr>
          <w:rFonts w:ascii="宋体" w:hint="eastAsia"/>
          <w:sz w:val="24"/>
        </w:rPr>
        <w:t>防止污染环境的措施，不得擅自倾倒、堆放、丢弃、遗撒危险废物，并对所造成的环境污染及生态破坏依法承担责任。竞标人在运输及处置过程中必须严格遵守《中华人民共和国固体废物污染环境防治法》《危险废物转移管理办法》相关规定（2021年11月30日生态环境部、公安部、交通运输部令第23号公布 自2022年1月1日起施行）。</w:t>
      </w:r>
    </w:p>
    <w:p>
      <w:pPr>
        <w:pStyle w:val="16"/>
        <w:spacing w:after="0" w:line="500" w:lineRule="exact"/>
        <w:ind w:firstLineChars="200" w:firstLine="480"/>
        <w:rPr>
          <w:rFonts w:ascii="宋体" w:hint="eastAsia"/>
          <w:sz w:val="24"/>
        </w:rPr>
      </w:pPr>
      <w:r>
        <w:rPr>
          <w:rFonts w:ascii="宋体" w:hint="eastAsia"/>
          <w:sz w:val="24"/>
        </w:rPr>
        <w:t>2.运输车辆要求</w:t>
      </w:r>
    </w:p>
    <w:p>
      <w:pPr>
        <w:pStyle w:val="16"/>
        <w:spacing w:after="0" w:line="500" w:lineRule="exact"/>
        <w:ind w:firstLineChars="200" w:firstLine="480"/>
        <w:rPr>
          <w:rFonts w:ascii="宋体" w:hint="eastAsia"/>
          <w:sz w:val="24"/>
        </w:rPr>
      </w:pPr>
      <w:r>
        <w:rPr>
          <w:rFonts w:ascii="宋体" w:hint="eastAsia"/>
          <w:sz w:val="24"/>
        </w:rPr>
        <w:t>（1）竞标人应具备危险废物运输资质，且自备符合《危险废物收集、贮存、运输技术规范》（HJ 2025-2012）要求的运输车辆，车辆须满足防水、防渗漏、防遗撒的车辆，实行密闭化运输。车辆安全技术性能、外观应符合公安机关交通管理部门、道路运输管理部门和城市管理综合执法部门的要求。</w:t>
      </w:r>
    </w:p>
    <w:p>
      <w:pPr>
        <w:pStyle w:val="16"/>
        <w:spacing w:after="0" w:line="500" w:lineRule="exact"/>
        <w:ind w:firstLineChars="200" w:firstLine="480"/>
        <w:rPr>
          <w:rFonts w:ascii="宋体" w:hint="eastAsia"/>
          <w:sz w:val="24"/>
        </w:rPr>
      </w:pPr>
      <w:r>
        <w:rPr>
          <w:rFonts w:ascii="宋体" w:hint="eastAsia"/>
          <w:sz w:val="24"/>
        </w:rPr>
        <w:t>（2）竞标人须给危险废物运输车辆安装卫星定位系统，在危险废物运输过程中开启卫星定位系统，建立危险废物运输车辆的卫星定位系统监控平台，并定期对卫星定位系统监控平台及终端进行检查、维护，确保系统监控平台及终端正常运行、实时有效。</w:t>
      </w:r>
    </w:p>
    <w:p>
      <w:pPr>
        <w:pStyle w:val="16"/>
        <w:spacing w:after="0" w:line="500" w:lineRule="exact"/>
        <w:ind w:firstLineChars="200" w:firstLine="480"/>
        <w:rPr>
          <w:rFonts w:ascii="宋体" w:hint="eastAsia"/>
          <w:sz w:val="24"/>
        </w:rPr>
      </w:pPr>
      <w:r>
        <w:rPr>
          <w:rFonts w:ascii="宋体" w:hint="eastAsia"/>
          <w:sz w:val="24"/>
        </w:rPr>
        <w:t>3.危险废物装卸及运输管理要求</w:t>
      </w:r>
    </w:p>
    <w:p>
      <w:pPr>
        <w:pStyle w:val="16"/>
        <w:spacing w:after="0" w:line="500" w:lineRule="exact"/>
        <w:ind w:firstLineChars="200" w:firstLine="480"/>
        <w:rPr>
          <w:rFonts w:ascii="宋体" w:hint="eastAsia"/>
          <w:sz w:val="24"/>
        </w:rPr>
      </w:pPr>
      <w:r>
        <w:rPr>
          <w:rFonts w:ascii="宋体" w:hint="eastAsia"/>
          <w:sz w:val="24"/>
        </w:rPr>
        <w:t>（1）竞标人应按照《危险废物转移联单管理办法》的要求，正确的填写包括但不限于《危险废物转移联单》《危险废物转移交接单》。采购人有权定期对危险废物运输车辆卫星定位系统监控平台自动生成和保存的行车轨迹、数据进行抽查，不定期核查运输单位的资质情况、车辆驾驶员资质、车辆车况外观等基本情况，不定期派人跟随危险废物运输车辆。竞标人完成运输后5日内将危险废物运输车辆行车轨迹截图或视频电子版提供给采购人。</w:t>
      </w:r>
    </w:p>
    <w:p>
      <w:pPr>
        <w:pStyle w:val="16"/>
        <w:spacing w:after="0" w:line="500" w:lineRule="exact"/>
        <w:ind w:firstLineChars="200" w:firstLine="480"/>
        <w:rPr>
          <w:rFonts w:ascii="宋体" w:hint="eastAsia"/>
          <w:sz w:val="24"/>
        </w:rPr>
      </w:pPr>
      <w:r>
        <w:rPr>
          <w:rFonts w:ascii="宋体" w:hint="eastAsia"/>
          <w:sz w:val="24"/>
        </w:rPr>
        <w:t>（2）装卸人员应熟悉废物的危险特性，并配备适当的个人防护装备，由竞标人负责危险废物的装卸全过程，并对装卸过程安全进行负责。</w:t>
      </w:r>
    </w:p>
    <w:p>
      <w:pPr>
        <w:pStyle w:val="16"/>
        <w:spacing w:after="0" w:line="500" w:lineRule="exact"/>
        <w:ind w:firstLineChars="200" w:firstLine="480"/>
        <w:rPr>
          <w:rFonts w:ascii="宋体" w:hint="eastAsia"/>
          <w:sz w:val="24"/>
        </w:rPr>
      </w:pPr>
      <w:r>
        <w:rPr>
          <w:rFonts w:ascii="宋体" w:hint="eastAsia"/>
          <w:sz w:val="24"/>
        </w:rPr>
        <w:t>4.危险废物处置要求</w:t>
      </w:r>
    </w:p>
    <w:p>
      <w:pPr>
        <w:pStyle w:val="16"/>
        <w:spacing w:after="0" w:line="500" w:lineRule="exact"/>
        <w:ind w:firstLineChars="200" w:firstLine="480"/>
        <w:rPr>
          <w:rFonts w:ascii="宋体" w:hint="eastAsia"/>
          <w:sz w:val="24"/>
        </w:rPr>
      </w:pPr>
      <w:r>
        <w:rPr>
          <w:rFonts w:ascii="宋体" w:hint="eastAsia"/>
          <w:sz w:val="24"/>
        </w:rPr>
        <w:t>（1）竞标人按照环评批复要求处理处置采购范围内产生的危险废物，处置工艺采用水泥窑协同</w:t>
      </w:r>
      <w:r>
        <w:rPr>
          <w:rFonts w:ascii="宋体" w:hint="eastAsia"/>
          <w:sz w:val="24"/>
          <w:lang w:val="en-US" w:eastAsia="zh-CN"/>
        </w:rPr>
        <w:t>处置</w:t>
      </w:r>
      <w:r>
        <w:rPr>
          <w:rFonts w:ascii="宋体" w:hint="eastAsia"/>
          <w:sz w:val="24"/>
        </w:rPr>
        <w:t>、焚烧炉焚烧的终端处置方法，避免二次处置带来的环境影响。</w:t>
      </w:r>
    </w:p>
    <w:p>
      <w:pPr>
        <w:pStyle w:val="16"/>
        <w:spacing w:after="0" w:line="500" w:lineRule="exact"/>
        <w:ind w:firstLineChars="200" w:firstLine="480"/>
        <w:rPr>
          <w:rFonts w:ascii="宋体" w:hint="eastAsia"/>
          <w:sz w:val="24"/>
        </w:rPr>
      </w:pPr>
      <w:r>
        <w:rPr>
          <w:rFonts w:ascii="宋体" w:hint="eastAsia"/>
          <w:sz w:val="24"/>
        </w:rPr>
        <w:t>（2）竞标人须向采购人提供危险废物接收记录，接收记录包含但不限于危险废物过磅、危险废物转移联单、视频监控设施、运输车辆车牌等信息。</w:t>
      </w:r>
    </w:p>
    <w:p>
      <w:pPr>
        <w:pStyle w:val="16"/>
        <w:spacing w:after="0" w:line="500" w:lineRule="exact"/>
        <w:ind w:firstLineChars="200" w:firstLine="480"/>
        <w:rPr>
          <w:rFonts w:ascii="宋体" w:hint="eastAsia"/>
          <w:sz w:val="24"/>
        </w:rPr>
      </w:pPr>
      <w:r>
        <w:rPr>
          <w:rFonts w:ascii="宋体" w:hint="eastAsia"/>
          <w:sz w:val="24"/>
        </w:rPr>
        <w:t>（3）竞标人须建立完善的危险废物处理处置过程的监控制度，包括但不限于进厂危险废物跟踪监管、生产过程跟踪监管、最终成品出厂跟踪监管、成品每批次抽样检测报告等。采购人有权随机抽检竞标人处理处置采购人危险废物的资料，包括但不限于台账、监控视频资料。竞标人在完成危险废物处置后的当月月底前需向采购人提供当次处置的危险废物最终成品检测报告。</w:t>
      </w:r>
    </w:p>
    <w:p>
      <w:pPr>
        <w:pStyle w:val="16"/>
        <w:spacing w:after="0" w:line="500" w:lineRule="exact"/>
        <w:ind w:firstLineChars="200" w:firstLine="480"/>
        <w:rPr>
          <w:rFonts w:ascii="宋体" w:hint="eastAsia"/>
          <w:sz w:val="24"/>
        </w:rPr>
      </w:pPr>
      <w:r>
        <w:rPr>
          <w:rFonts w:ascii="宋体" w:hint="eastAsia"/>
          <w:sz w:val="24"/>
        </w:rPr>
        <w:t>（4）竞标人的危险废物贮存场、处置场必须符合《危险废物贮存污染控制标准》（GB 18597-2023）的要求。</w:t>
      </w:r>
    </w:p>
    <w:p>
      <w:pPr>
        <w:pStyle w:val="16"/>
        <w:spacing w:after="0" w:line="500" w:lineRule="exact"/>
        <w:ind w:firstLineChars="200" w:firstLine="480"/>
        <w:rPr>
          <w:rFonts w:ascii="宋体" w:hint="eastAsia"/>
          <w:sz w:val="24"/>
        </w:rPr>
      </w:pPr>
      <w:r>
        <w:rPr>
          <w:rFonts w:ascii="宋体" w:hint="eastAsia"/>
          <w:sz w:val="24"/>
        </w:rPr>
        <w:t>（5）竞标人采用危险废物处置工艺必须按环保验收或备案落实，如危险废物处置工艺有变动需向相关政府部门备案，同时以书面形式通知采购人。</w:t>
      </w:r>
    </w:p>
    <w:p>
      <w:pPr>
        <w:pStyle w:val="16"/>
        <w:spacing w:after="0" w:line="500" w:lineRule="exact"/>
        <w:ind w:firstLineChars="200" w:firstLine="480"/>
        <w:rPr>
          <w:rFonts w:ascii="宋体" w:hint="eastAsia"/>
          <w:b/>
          <w:bCs/>
          <w:sz w:val="24"/>
        </w:rPr>
      </w:pPr>
      <w:r>
        <w:rPr>
          <w:rFonts w:ascii="宋体" w:hint="eastAsia"/>
          <w:b/>
          <w:bCs/>
          <w:sz w:val="24"/>
        </w:rPr>
        <w:t>六、其他要求</w:t>
      </w:r>
    </w:p>
    <w:p>
      <w:pPr>
        <w:pStyle w:val="16"/>
        <w:spacing w:after="0" w:line="500" w:lineRule="exact"/>
        <w:ind w:firstLineChars="200" w:firstLine="480"/>
        <w:rPr>
          <w:rFonts w:ascii="宋体" w:hint="eastAsia"/>
          <w:sz w:val="24"/>
        </w:rPr>
      </w:pPr>
      <w:r>
        <w:rPr>
          <w:rFonts w:ascii="宋体" w:hint="eastAsia"/>
          <w:sz w:val="24"/>
        </w:rPr>
        <w:t>1.有符合国务院交通主管部门有关危险货物运输安全要求的运输工具。</w:t>
      </w:r>
    </w:p>
    <w:p>
      <w:pPr>
        <w:pStyle w:val="16"/>
        <w:spacing w:after="0" w:line="500" w:lineRule="exact"/>
        <w:ind w:firstLineChars="200" w:firstLine="480"/>
        <w:rPr>
          <w:rFonts w:ascii="宋体" w:hint="eastAsia"/>
          <w:sz w:val="24"/>
        </w:rPr>
      </w:pPr>
      <w:r>
        <w:rPr>
          <w:rFonts w:ascii="宋体" w:hint="eastAsia"/>
          <w:sz w:val="24"/>
        </w:rPr>
        <w:t>2.有符合国家或者地方环境保护标准和安全要求的包装工具，中转和临时存放设施、设备以及经验收合格的贮存设施、设备。</w:t>
      </w:r>
    </w:p>
    <w:p>
      <w:pPr>
        <w:pStyle w:val="16"/>
        <w:spacing w:after="0" w:line="500" w:lineRule="exact"/>
        <w:ind w:firstLineChars="200" w:firstLine="480"/>
        <w:rPr>
          <w:rFonts w:ascii="宋体" w:hint="eastAsia"/>
          <w:sz w:val="24"/>
        </w:rPr>
      </w:pPr>
      <w:r>
        <w:rPr>
          <w:rFonts w:ascii="宋体" w:hint="eastAsia"/>
          <w:sz w:val="24"/>
        </w:rPr>
        <w:t>3.有符合国家或者地方环境保护标准和安全要求的处置设施、设备和配套的污染防治设施。</w:t>
      </w:r>
    </w:p>
    <w:p>
      <w:pPr>
        <w:pStyle w:val="16"/>
        <w:spacing w:after="0" w:line="500" w:lineRule="exact"/>
        <w:ind w:firstLineChars="200" w:firstLine="480"/>
        <w:rPr>
          <w:rFonts w:ascii="宋体" w:hint="eastAsia"/>
          <w:sz w:val="24"/>
        </w:rPr>
      </w:pPr>
      <w:r>
        <w:rPr>
          <w:rFonts w:ascii="宋体" w:hint="eastAsia"/>
          <w:sz w:val="24"/>
        </w:rPr>
        <w:t>4.有与所经营的危险废物类别相适应的处置技术和工艺。</w:t>
      </w:r>
    </w:p>
    <w:p>
      <w:pPr>
        <w:spacing w:line="500" w:lineRule="exact"/>
        <w:ind w:firstLineChars="200" w:firstLine="480"/>
        <w:rPr>
          <w:rFonts w:ascii="宋体" w:hint="eastAsia"/>
          <w:sz w:val="24"/>
        </w:rPr>
      </w:pPr>
      <w:r>
        <w:rPr>
          <w:rFonts w:ascii="宋体" w:hint="eastAsia"/>
          <w:sz w:val="24"/>
        </w:rPr>
        <w:t>5.有保证危险废物经营安全的规章制度、污染防治措施和事故应急救援措施。</w:t>
      </w:r>
    </w:p>
    <w:p>
      <w:pPr>
        <w:spacing w:line="500" w:lineRule="exact"/>
        <w:ind w:firstLineChars="200" w:firstLine="480"/>
        <w:rPr>
          <w:rFonts w:ascii="宋体" w:hint="eastAsia"/>
          <w:sz w:val="24"/>
        </w:rPr>
      </w:pPr>
      <w:r>
        <w:rPr>
          <w:rFonts w:ascii="宋体" w:hint="eastAsia"/>
          <w:sz w:val="24"/>
        </w:rPr>
        <w:t>故应急救援措施。</w:t>
      </w:r>
    </w:p>
    <w:p>
      <w:pPr>
        <w:spacing w:line="500" w:lineRule="exact"/>
        <w:ind w:firstLineChars="200" w:firstLine="480"/>
        <w:rPr>
          <w:rFonts w:ascii="宋体" w:hint="eastAsia"/>
          <w:b/>
          <w:bCs/>
          <w:sz w:val="24"/>
        </w:rPr>
      </w:pPr>
      <w:r>
        <w:rPr>
          <w:rFonts w:ascii="宋体" w:hint="eastAsia"/>
          <w:b/>
          <w:bCs/>
          <w:sz w:val="24"/>
        </w:rPr>
        <w:t>七、合同履行期限</w:t>
      </w:r>
    </w:p>
    <w:p>
      <w:pPr>
        <w:spacing w:line="500" w:lineRule="exact"/>
        <w:ind w:firstLineChars="200" w:firstLine="480"/>
        <w:rPr>
          <w:rFonts w:ascii="宋体" w:hint="eastAsia"/>
          <w:sz w:val="24"/>
        </w:rPr>
      </w:pPr>
      <w:r>
        <w:rPr>
          <w:rFonts w:ascii="宋体" w:hint="eastAsia"/>
          <w:sz w:val="24"/>
        </w:rPr>
        <w:t>一年内，按采购人申请的处置时间，分2次处置完毕。</w:t>
      </w:r>
    </w:p>
    <w:sectPr>
      <w:foot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203" w:usb1="288F0000" w:usb2="00000006" w:usb3="00000000" w:csb0="00040001" w:csb1="00000000"/>
  </w:font>
  <w:font w:name="Calibri">
    <w:panose1 w:val="020F0502020204030204"/>
    <w:charset w:val="00"/>
    <w:family w:val="swiss"/>
    <w:pitch w:val="variable"/>
    <w:sig w:usb0="E4002EFF" w:usb1="C200247B" w:usb2="00000009" w:usb3="00000000" w:csb0="200001FF" w:csb1="00000000"/>
  </w:font>
  <w:font w:name="Arial">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enter" w:pos="4153"/>
        <w:tab w:val="right" w:pos="8306"/>
      </w:tabs>
      <w:jc w:val="center"/>
      <w:rPr>
        <w:rFonts w:ascii="Times New Roman" w:cs="Times New Roman" w:hAnsi="Times New Roman"/>
        <w:sz w:val="21"/>
        <w:szCs w:val="21"/>
      </w:rPr>
    </w:pPr>
    <w:r>
      <w:rPr>
        <w:rFonts w:ascii="Times New Roman" w:cs="Times New Roman" w:hAnsi="Times New Roman"/>
        <w:sz w:val="21"/>
        <w:szCs w:val="21"/>
      </w:rPr>
      <w:fldChar w:fldCharType="begin"/>
    </w:r>
    <w:r>
      <w:rPr>
        <w:rFonts w:ascii="Times New Roman" w:cs="Times New Roman" w:hAnsi="Times New Roman"/>
        <w:sz w:val="21"/>
        <w:szCs w:val="21"/>
      </w:rPr>
      <w:instrText>Page</w:instrText>
    </w:r>
    <w:r>
      <w:rPr>
        <w:rFonts w:ascii="Times New Roman" w:cs="Times New Roman" w:hAnsi="Times New Roman"/>
        <w:sz w:val="21"/>
        <w:szCs w:val="21"/>
      </w:rPr>
      <w:fldChar w:fldCharType="separate"/>
    </w:r>
    <w:r>
      <w:rPr>
        <w:rFonts w:ascii="Times New Roman" w:cs="Times New Roman" w:hAnsi="Times New Roman"/>
        <w:sz w:val="21"/>
        <w:szCs w:val="21"/>
      </w:rPr>
      <w:t>1</w:t>
    </w:r>
    <w:r>
      <w:rPr>
        <w:rFonts w:ascii="Times New Roman" w:cs="Times New Roman" w:hAnsi="Times New Roman"/>
        <w:sz w:val="21"/>
        <w:szCs w:val="21"/>
      </w:rP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 w:type="paragraph" w:styleId="15">
    <w:name w:val="Normal Indent"/>
    <w:basedOn w:val="0"/>
    <w:next w:val="16"/>
    <w:pPr>
      <w:ind w:firstLine="420"/>
    </w:pPr>
    <w:rPr>
      <w:szCs w:val="20"/>
    </w:rPr>
  </w:style>
  <w:style w:type="paragraph" w:styleId="16">
    <w:name w:val="Body Text"/>
    <w:basedOn w:val="0"/>
    <w:pPr>
      <w:spacing w:after="120"/>
    </w:p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customStyle="1" w:styleId="19">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58</TotalTime>
  <Application>Yozo_Office</Application>
  <Pages>3</Pages>
  <Words>1887</Words>
  <Characters>1998</Characters>
  <Lines>75</Lines>
  <Paragraphs>37</Paragraphs>
  <CharactersWithSpaces>2001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滴水藏海</dc:creator>
  <cp:lastModifiedBy>赖婧</cp:lastModifiedBy>
  <cp:revision>3</cp:revision>
  <cp:lastPrinted>2025-05-15T06:30:00Z</cp:lastPrinted>
  <dcterms:created xsi:type="dcterms:W3CDTF">2025-05-18T22:43:00Z</dcterms:created>
  <dcterms:modified xsi:type="dcterms:W3CDTF">2026-06-10T10:05:50Z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2052-12.1.0.26375</vt:lpwstr>
  </property>
  <property fmtid="{D5CDD505-2E9C-101B-9397-08002B2CF9AE}" pid="3" name="ICV">
    <vt:lpwstr>0A261916F7414318B14389FF1DEC803F_13</vt:lpwstr>
  </property>
  <property fmtid="{D5CDD505-2E9C-101B-9397-08002B2CF9AE}" pid="4" name="KSOTemplateDocerSaveRecord">
    <vt:lpwstr>eyJoZGlkIjoiM2MxMjhkMGM3MTNjOTUyY2Q3M2Q3ODkwNTViMDFhMDMiLCJ1c2VySWQiOiIzNDU0MTc2MzQifQ==</vt:lpwstr>
  </property>
</Properties>
</file>