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40" w:lineRule="exact"/>
        <w:jc w:val="center"/>
        <w:rPr>
          <w:rFonts w:eastAsia="方正小标宋_GBK"/>
          <w:bCs/>
          <w:color w:val="000000"/>
          <w:sz w:val="32"/>
          <w:szCs w:val="32"/>
        </w:rPr>
      </w:pPr>
      <w:bookmarkStart w:id="0" w:name="_GoBack"/>
      <w:bookmarkEnd w:id="0"/>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pPr>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pPr>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pPr>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pPr>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pPr>
        <w:spacing w:line="480" w:lineRule="exact"/>
        <w:ind w:firstLineChars="200" w:firstLine="560"/>
        <w:rPr>
          <w:rFonts w:eastAsia="方正黑体_GBK"/>
          <w:color w:val="000000"/>
          <w:sz w:val="28"/>
          <w:szCs w:val="28"/>
        </w:rPr>
      </w:pPr>
      <w:r>
        <w:rPr>
          <w:rFonts w:eastAsia="方正黑体_GBK"/>
          <w:color w:val="000000"/>
          <w:sz w:val="28"/>
          <w:szCs w:val="28"/>
        </w:rPr>
        <w:t>二、资</w:t>
      </w:r>
      <w:r>
        <w:rPr>
          <w:rFonts w:eastAsia="方正黑体_GBK" w:hint="eastAsia"/>
          <w:color w:val="000000"/>
          <w:sz w:val="28"/>
          <w:szCs w:val="28"/>
        </w:rPr>
        <w:t>格审查</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具备《采购公告》中企业资质，通过审查不足3家的应废标，采购人</w:t>
      </w:r>
      <w:r>
        <w:rPr>
          <w:rFonts w:eastAsia="方正仿宋_GBK"/>
          <w:color w:val="000000"/>
          <w:sz w:val="28"/>
          <w:szCs w:val="28"/>
        </w:rPr>
        <w:t>重新组织</w:t>
      </w:r>
      <w:r>
        <w:rPr>
          <w:rFonts w:eastAsia="方正仿宋_GBK" w:hint="eastAsia"/>
          <w:color w:val="000000"/>
          <w:sz w:val="28"/>
          <w:szCs w:val="28"/>
        </w:rPr>
        <w:t>采购</w:t>
      </w:r>
      <w:r>
        <w:rPr>
          <w:rFonts w:eastAsia="方正仿宋_GBK"/>
          <w:color w:val="000000"/>
          <w:sz w:val="28"/>
          <w:szCs w:val="28"/>
        </w:rPr>
        <w:t>。</w:t>
      </w:r>
    </w:p>
    <w:p>
      <w:pPr>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1.报价函（附件1，必须提供）；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2.报价明细表（附件2，必须提供）；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3.声明（附件3，必须提供）；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4.有效的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5.供应商的法定代表人身份证正反面复印件（必须提供）；</w:t>
      </w:r>
    </w:p>
    <w:p>
      <w:pPr>
        <w:spacing w:line="480" w:lineRule="exact"/>
        <w:ind w:leftChars="-1" w:left="-2" w:firstLineChars="221" w:firstLine="619"/>
        <w:rPr>
          <w:rFonts w:eastAsia="方正仿宋_GBK"/>
          <w:sz w:val="28"/>
          <w:szCs w:val="28"/>
        </w:rPr>
      </w:pPr>
      <w:r>
        <w:rPr>
          <w:rFonts w:eastAsia="方正仿宋_GBK"/>
          <w:color w:val="000000"/>
          <w:sz w:val="28"/>
          <w:szCs w:val="28"/>
        </w:rPr>
        <w:t>6.供应商的法人授权委托书、委托代理人身份证正反面复印件（委托代理时必</w:t>
      </w:r>
      <w:r>
        <w:rPr>
          <w:rFonts w:eastAsia="方正仿宋_GBK"/>
          <w:sz w:val="28"/>
          <w:szCs w:val="28"/>
        </w:rPr>
        <w:t>须提供，同时要加盖单位公章，否则被认定为资格审查不合格而报价无效）；</w:t>
      </w:r>
    </w:p>
    <w:p>
      <w:pPr>
        <w:spacing w:line="480" w:lineRule="exact"/>
        <w:ind w:leftChars="-1" w:left="-2" w:firstLineChars="221" w:firstLine="619"/>
        <w:rPr>
          <w:rFonts w:eastAsia="方正仿宋_GBK"/>
          <w:sz w:val="28"/>
          <w:szCs w:val="28"/>
        </w:rPr>
      </w:pPr>
      <w:r>
        <w:rPr>
          <w:rFonts w:eastAsia="方正仿宋_GBK"/>
          <w:sz w:val="28"/>
          <w:szCs w:val="28"/>
        </w:rPr>
        <w:t>7.服务方案（格式自拟，必须提供）；</w:t>
      </w:r>
    </w:p>
    <w:p>
      <w:pPr>
        <w:spacing w:line="480" w:lineRule="exact"/>
        <w:ind w:leftChars="-1" w:left="-2" w:firstLineChars="221" w:firstLine="619"/>
        <w:rPr>
          <w:rFonts w:eastAsia="方正仿宋_GBK"/>
          <w:sz w:val="28"/>
          <w:szCs w:val="28"/>
        </w:rPr>
      </w:pPr>
      <w:r>
        <w:rPr>
          <w:rFonts w:eastAsia="方正仿宋_GBK"/>
          <w:sz w:val="28"/>
          <w:szCs w:val="28"/>
        </w:rPr>
        <w:t>8.近三年同类工作相关业绩（中标通知书或合同关键页复印件并加盖公章）；</w:t>
      </w:r>
    </w:p>
    <w:p>
      <w:pPr>
        <w:spacing w:line="480" w:lineRule="exact"/>
        <w:ind w:leftChars="-1" w:left="-2" w:firstLineChars="221" w:firstLine="619"/>
        <w:rPr>
          <w:rFonts w:ascii="方正仿宋_GBK" w:eastAsia="方正仿宋_GBK"/>
          <w:sz w:val="28"/>
          <w:szCs w:val="28"/>
        </w:rPr>
      </w:pPr>
      <w:r>
        <w:rPr>
          <w:rFonts w:eastAsia="方正仿宋_GBK"/>
          <w:sz w:val="28"/>
          <w:szCs w:val="28"/>
        </w:rPr>
        <w:t>9</w:t>
      </w:r>
      <w:r>
        <w:rPr>
          <w:rFonts w:eastAsia="方正仿宋_GBK" w:hint="eastAsia"/>
          <w:sz w:val="28"/>
          <w:szCs w:val="28"/>
        </w:rPr>
        <w:t>.</w:t>
      </w:r>
      <w:r>
        <w:rPr>
          <w:rFonts w:eastAsia="方正仿宋_GBK"/>
          <w:sz w:val="28"/>
          <w:szCs w:val="28"/>
        </w:rPr>
        <w:t>其他证</w:t>
      </w:r>
      <w:r>
        <w:rPr>
          <w:rFonts w:ascii="方正仿宋_GBK" w:eastAsia="方正仿宋_GBK" w:hint="eastAsia"/>
          <w:sz w:val="28"/>
          <w:szCs w:val="28"/>
        </w:rPr>
        <w:t>明文件的复印件（如有请提供）。</w:t>
      </w:r>
    </w:p>
    <w:p>
      <w:pPr>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二</w:t>
      </w:r>
      <w:r>
        <w:rPr>
          <w:rFonts w:ascii="方正楷体_GBK" w:eastAsia="方正楷体_GBK"/>
          <w:b/>
          <w:sz w:val="28"/>
          <w:szCs w:val="28"/>
        </w:rPr>
        <w:t>）</w:t>
      </w:r>
      <w:r>
        <w:rPr>
          <w:rFonts w:eastAsia="方正仿宋_GBK" w:hint="eastAsia"/>
          <w:sz w:val="28"/>
          <w:szCs w:val="28"/>
        </w:rPr>
        <w:t>属于下列情形的，</w:t>
      </w:r>
      <w:r>
        <w:rPr>
          <w:rFonts w:eastAsia="方正仿宋_GBK"/>
          <w:sz w:val="28"/>
          <w:szCs w:val="28"/>
        </w:rPr>
        <w:t>不</w:t>
      </w:r>
      <w:r>
        <w:rPr>
          <w:rFonts w:eastAsia="方正仿宋_GBK" w:hint="eastAsia"/>
          <w:sz w:val="28"/>
          <w:szCs w:val="28"/>
        </w:rPr>
        <w:t>得</w:t>
      </w:r>
      <w:r>
        <w:rPr>
          <w:rFonts w:eastAsia="方正仿宋_GBK"/>
          <w:sz w:val="28"/>
          <w:szCs w:val="28"/>
        </w:rPr>
        <w:t>参加下一步</w:t>
      </w:r>
      <w:r>
        <w:rPr>
          <w:rFonts w:eastAsia="方正仿宋_GBK" w:hint="eastAsia"/>
          <w:sz w:val="28"/>
          <w:szCs w:val="28"/>
        </w:rPr>
        <w:t>详</w:t>
      </w:r>
      <w:r>
        <w:rPr>
          <w:rFonts w:eastAsia="方正仿宋_GBK"/>
          <w:sz w:val="28"/>
          <w:szCs w:val="28"/>
        </w:rPr>
        <w:t>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pPr>
        <w:spacing w:line="480" w:lineRule="exact"/>
        <w:ind w:firstLineChars="228" w:firstLine="638"/>
        <w:rPr>
          <w:rFonts w:eastAsia="方正仿宋_GBK"/>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pPr>
        <w:spacing w:line="480" w:lineRule="exact"/>
        <w:ind w:firstLineChars="228" w:firstLine="638"/>
        <w:rPr>
          <w:rFonts w:ascii="方正黑体_GBK" w:eastAsia="方正黑体_GBK"/>
          <w:strike/>
          <w:dstrike w:val="0"/>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pPr>
        <w:snapToGrid w:val="0"/>
        <w:spacing w:line="480" w:lineRule="exact"/>
        <w:ind w:firstLineChars="196" w:firstLine="549"/>
        <w:jc w:val="left"/>
        <w:rPr>
          <w:rFonts w:ascii="仿宋_GB2312" w:eastAsia="仿宋_GB2312" w:cs="Courier New"/>
          <w:b/>
          <w:color w:val="000000"/>
          <w:sz w:val="28"/>
          <w:szCs w:val="28"/>
        </w:rPr>
      </w:pPr>
      <w:r>
        <w:rPr>
          <w:rFonts w:ascii="仿宋_GB2312" w:eastAsia="仿宋_GB2312" w:cs="Courier New" w:hint="eastAsia"/>
          <w:b/>
          <w:color w:val="000000"/>
          <w:sz w:val="28"/>
          <w:szCs w:val="28"/>
        </w:rPr>
        <w:t>（一）评审方法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1.对进入详评的，采用百分制综合评分法。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2.计分办法（按四舍五入取至小数点后两位）。</w:t>
      </w:r>
    </w:p>
    <w:p>
      <w:pPr>
        <w:spacing w:line="480" w:lineRule="exact"/>
        <w:ind w:firstLineChars="200" w:firstLine="560"/>
        <w:rPr>
          <w:rFonts w:ascii="仿宋_GB2312" w:eastAsia="仿宋_GB2312" w:cs="Courier New"/>
          <w:b/>
          <w:sz w:val="28"/>
          <w:szCs w:val="28"/>
        </w:rPr>
      </w:pPr>
      <w:r>
        <w:rPr>
          <w:rFonts w:ascii="仿宋_GB2312" w:eastAsia="仿宋_GB2312" w:cs="Courier New" w:hint="eastAsia"/>
          <w:b/>
          <w:sz w:val="28"/>
          <w:szCs w:val="28"/>
        </w:rPr>
        <w:t>（二）评分标准</w:t>
      </w:r>
    </w:p>
    <w:tbl>
      <w:tblPr>
        <w:jc w:val="cente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85"/>
        <w:gridCol w:w="1121"/>
        <w:gridCol w:w="1260"/>
        <w:gridCol w:w="6131"/>
      </w:tblGrid>
      <w:tr>
        <w:trPr>
          <w:trHeight w:val="608"/>
        </w:trPr>
        <w:tc>
          <w:tcPr>
            <w:tcW w:w="485" w:type="dxa"/>
            <w:vAlign w:val="center"/>
          </w:tcPr>
          <w:p>
            <w:pPr>
              <w:jc w:val="center"/>
              <w:rPr>
                <w:rFonts w:ascii="宋体" w:cs="Arial"/>
                <w:b/>
                <w:sz w:val="24"/>
                <w:szCs w:val="24"/>
              </w:rPr>
            </w:pPr>
            <w:r>
              <w:rPr>
                <w:rFonts w:ascii="宋体" w:cs="Arial" w:hint="eastAsia"/>
                <w:b/>
                <w:sz w:val="24"/>
                <w:szCs w:val="24"/>
              </w:rPr>
              <w:t>序号</w:t>
            </w:r>
          </w:p>
        </w:tc>
        <w:tc>
          <w:tcPr>
            <w:tcW w:w="2381" w:type="dxa"/>
            <w:gridSpan w:val="2"/>
            <w:vAlign w:val="center"/>
          </w:tcPr>
          <w:p>
            <w:pPr>
              <w:jc w:val="center"/>
              <w:rPr>
                <w:rFonts w:ascii="宋体" w:cs="Arial"/>
                <w:b/>
                <w:sz w:val="24"/>
                <w:szCs w:val="24"/>
              </w:rPr>
            </w:pPr>
            <w:r>
              <w:rPr>
                <w:rFonts w:ascii="宋体" w:cs="Arial" w:hint="eastAsia"/>
                <w:b/>
                <w:sz w:val="24"/>
                <w:szCs w:val="24"/>
              </w:rPr>
              <w:t>评</w:t>
            </w:r>
            <w:r>
              <w:rPr>
                <w:rFonts w:ascii="宋体" w:cs="Arial"/>
                <w:b/>
                <w:sz w:val="24"/>
                <w:szCs w:val="24"/>
              </w:rPr>
              <w:t>分项</w:t>
            </w:r>
          </w:p>
        </w:tc>
        <w:tc>
          <w:tcPr>
            <w:tcW w:w="6131" w:type="dxa"/>
            <w:vAlign w:val="center"/>
          </w:tcPr>
          <w:p>
            <w:pPr>
              <w:jc w:val="center"/>
              <w:rPr>
                <w:rFonts w:ascii="宋体" w:cs="Arial"/>
                <w:b/>
                <w:sz w:val="24"/>
                <w:szCs w:val="24"/>
              </w:rPr>
            </w:pPr>
            <w:r>
              <w:rPr>
                <w:rFonts w:ascii="宋体" w:cs="Arial" w:hint="eastAsia"/>
                <w:b/>
                <w:sz w:val="24"/>
                <w:szCs w:val="24"/>
              </w:rPr>
              <w:t>评分标准</w:t>
            </w:r>
          </w:p>
        </w:tc>
      </w:tr>
      <w:tr>
        <w:trPr>
          <w:trHeight w:val="1405"/>
        </w:trPr>
        <w:tc>
          <w:tcPr>
            <w:tcW w:w="485" w:type="dxa"/>
            <w:vAlign w:val="center"/>
          </w:tcPr>
          <w:p>
            <w:pPr>
              <w:spacing w:line="400" w:lineRule="exact"/>
              <w:jc w:val="center"/>
              <w:rPr>
                <w:rFonts w:ascii="宋体" w:cs="Arial"/>
                <w:sz w:val="24"/>
                <w:szCs w:val="24"/>
              </w:rPr>
            </w:pPr>
            <w:r>
              <w:rPr>
                <w:rFonts w:ascii="宋体" w:cs="Arial" w:hint="eastAsia"/>
                <w:sz w:val="24"/>
                <w:szCs w:val="24"/>
              </w:rPr>
              <w:t>1</w:t>
            </w:r>
          </w:p>
        </w:tc>
        <w:tc>
          <w:tcPr>
            <w:tcW w:w="2381" w:type="dxa"/>
            <w:gridSpan w:val="2"/>
            <w:vAlign w:val="center"/>
          </w:tcPr>
          <w:p>
            <w:pPr>
              <w:spacing w:line="400" w:lineRule="exact"/>
              <w:jc w:val="center"/>
              <w:rPr>
                <w:rFonts w:eastAsia="方正仿宋_GBK" w:cs="宋体"/>
                <w:b/>
                <w:bCs/>
                <w:sz w:val="24"/>
              </w:rPr>
            </w:pPr>
            <w:r>
              <w:rPr>
                <w:rFonts w:eastAsia="方正仿宋_GBK" w:cs="宋体" w:hint="eastAsia"/>
                <w:b/>
                <w:bCs/>
                <w:sz w:val="24"/>
              </w:rPr>
              <w:t>价格</w:t>
            </w:r>
            <w:r>
              <w:rPr>
                <w:rFonts w:eastAsia="方正仿宋_GBK" w:cs="宋体"/>
                <w:b/>
                <w:bCs/>
                <w:sz w:val="24"/>
              </w:rPr>
              <w:t>分</w:t>
            </w:r>
          </w:p>
          <w:p>
            <w:pPr>
              <w:spacing w:line="400" w:lineRule="exact"/>
              <w:ind w:firstLineChars="50" w:firstLine="120"/>
              <w:jc w:val="center"/>
              <w:rPr>
                <w:rFonts w:ascii="宋体" w:cs="Arial"/>
                <w:sz w:val="24"/>
                <w:szCs w:val="24"/>
              </w:rPr>
            </w:pPr>
            <w:r>
              <w:rPr>
                <w:rFonts w:ascii="宋体" w:cs="Arial" w:hint="eastAsia"/>
                <w:b/>
                <w:bCs/>
                <w:sz w:val="24"/>
                <w:szCs w:val="24"/>
              </w:rPr>
              <w:t>（</w:t>
            </w:r>
            <w:r>
              <w:rPr>
                <w:rFonts w:ascii="宋体" w:cs="Arial"/>
                <w:b/>
                <w:bCs/>
                <w:sz w:val="24"/>
                <w:szCs w:val="24"/>
              </w:rPr>
              <w:t>3</w:t>
            </w:r>
            <w:r>
              <w:rPr>
                <w:rFonts w:ascii="宋体" w:cs="Arial" w:hint="eastAsia"/>
                <w:b/>
                <w:bCs/>
                <w:sz w:val="24"/>
                <w:szCs w:val="24"/>
              </w:rPr>
              <w:t>0分）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根据供应商提供的同类商品报价进行综合评定。</w:t>
            </w:r>
          </w:p>
          <w:p>
            <w:pPr>
              <w:spacing w:line="400" w:lineRule="exact"/>
              <w:rPr>
                <w:rFonts w:ascii="宋体" w:cs="Arial"/>
                <w:sz w:val="24"/>
                <w:szCs w:val="24"/>
              </w:rPr>
            </w:pPr>
            <w:r>
              <w:rPr>
                <w:rFonts w:ascii="宋体" w:cs="Arial"/>
                <w:sz w:val="24"/>
                <w:szCs w:val="24"/>
              </w:rPr>
              <w:t>分一档（21-30分）、二档（11-20分）、三档（10分以下）进行评分。</w:t>
            </w:r>
          </w:p>
        </w:tc>
      </w:tr>
      <w:tr>
        <w:trPr>
          <w:trHeight w:val="1589"/>
        </w:trPr>
        <w:tc>
          <w:tcPr>
            <w:tcW w:w="485" w:type="dxa"/>
            <w:vMerge w:val="restart"/>
            <w:vAlign w:val="center"/>
          </w:tcPr>
          <w:p>
            <w:pPr>
              <w:spacing w:line="400" w:lineRule="exact"/>
              <w:jc w:val="center"/>
              <w:rPr>
                <w:rFonts w:ascii="宋体" w:cs="Arial"/>
                <w:sz w:val="24"/>
                <w:szCs w:val="24"/>
              </w:rPr>
            </w:pPr>
            <w:r>
              <w:rPr>
                <w:rFonts w:ascii="宋体" w:cs="Arial" w:hint="eastAsia"/>
                <w:sz w:val="24"/>
                <w:szCs w:val="24"/>
              </w:rPr>
              <w:t>2</w:t>
            </w:r>
          </w:p>
        </w:tc>
        <w:tc>
          <w:tcPr>
            <w:tcW w:w="1121" w:type="dxa"/>
            <w:vMerge w:val="restart"/>
            <w:vAlign w:val="center"/>
          </w:tcPr>
          <w:p>
            <w:pPr>
              <w:spacing w:line="400" w:lineRule="exact"/>
              <w:jc w:val="center"/>
              <w:rPr>
                <w:rFonts w:eastAsia="方正仿宋_GBK" w:cs="宋体"/>
                <w:b/>
                <w:bCs/>
                <w:sz w:val="24"/>
              </w:rPr>
            </w:pPr>
            <w:r>
              <w:rPr>
                <w:rFonts w:eastAsia="方正仿宋_GBK" w:cs="宋体"/>
                <w:b/>
                <w:bCs/>
                <w:sz w:val="24"/>
              </w:rPr>
              <w:t>技术分</w:t>
            </w:r>
          </w:p>
          <w:p>
            <w:pPr>
              <w:spacing w:line="400" w:lineRule="exact"/>
              <w:jc w:val="center"/>
              <w:rPr>
                <w:rFonts w:eastAsia="方正仿宋_GBK" w:cs="宋体"/>
                <w:b/>
                <w:bCs/>
                <w:sz w:val="24"/>
              </w:rPr>
            </w:pPr>
            <w:r>
              <w:rPr>
                <w:rFonts w:eastAsia="方正仿宋_GBK" w:cs="宋体"/>
                <w:b/>
                <w:bCs/>
                <w:sz w:val="24"/>
              </w:rPr>
              <w:t>（60分）</w:t>
            </w:r>
          </w:p>
        </w:tc>
        <w:tc>
          <w:tcPr>
            <w:tcW w:w="1260" w:type="dxa"/>
            <w:vAlign w:val="center"/>
          </w:tcPr>
          <w:p>
            <w:pPr>
              <w:spacing w:line="400" w:lineRule="exact"/>
              <w:jc w:val="center"/>
              <w:rPr>
                <w:rFonts w:eastAsia="方正仿宋_GBK" w:cs="宋体"/>
                <w:b/>
                <w:bCs/>
                <w:sz w:val="24"/>
              </w:rPr>
            </w:pPr>
            <w:r>
              <w:rPr>
                <w:rFonts w:eastAsia="方正仿宋_GBK" w:cs="宋体"/>
                <w:b/>
                <w:bCs/>
                <w:sz w:val="24"/>
              </w:rPr>
              <w:t>配送服务方案</w:t>
            </w:r>
          </w:p>
          <w:p>
            <w:pPr>
              <w:spacing w:line="400" w:lineRule="exact"/>
              <w:jc w:val="center"/>
              <w:rPr>
                <w:rFonts w:ascii="宋体" w:cs="宋体"/>
                <w:b/>
                <w:bCs/>
                <w:sz w:val="24"/>
                <w:szCs w:val="24"/>
              </w:rPr>
            </w:pPr>
            <w:r>
              <w:rPr>
                <w:rFonts w:ascii="宋体" w:cs="Arial" w:hint="eastAsia"/>
                <w:b/>
                <w:bCs/>
                <w:sz w:val="24"/>
                <w:szCs w:val="24"/>
              </w:rPr>
              <w:t>（</w:t>
            </w:r>
            <w:r>
              <w:rPr>
                <w:rFonts w:ascii="宋体" w:cs="Arial"/>
                <w:b/>
                <w:bCs/>
                <w:sz w:val="24"/>
                <w:szCs w:val="24"/>
              </w:rPr>
              <w:t>20</w:t>
            </w:r>
            <w:r>
              <w:rPr>
                <w:rFonts w:ascii="宋体" w:cs="Arial" w:hint="eastAsia"/>
                <w:b/>
                <w:bCs/>
                <w:sz w:val="24"/>
                <w:szCs w:val="24"/>
              </w:rPr>
              <w:t>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根据配送方案对本项目的适配性、配送效率和配送保证措施和承诺进行综合评定。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1372"/>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质量保证方案</w:t>
            </w:r>
          </w:p>
          <w:p>
            <w:pPr>
              <w:spacing w:line="400" w:lineRule="exact"/>
              <w:jc w:val="center"/>
              <w:rPr>
                <w:rFonts w:eastAsia="方正仿宋_GBK" w:cs="宋体"/>
                <w:b/>
                <w:bCs/>
                <w:sz w:val="24"/>
              </w:rPr>
            </w:pPr>
            <w:r>
              <w:rPr>
                <w:rFonts w:eastAsia="方正仿宋_GBK" w:cs="宋体"/>
                <w:b/>
                <w:bCs/>
                <w:sz w:val="24"/>
              </w:rPr>
              <w:t>（20分）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根据质量保证方案对本项目的合理性、针对性以及提供的质量保证规章制度、质量检验方案等进行综合评定。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1589"/>
        </w:trPr>
        <w:tc>
          <w:tcPr>
            <w:tcW w:w="485" w:type="dxa"/>
            <w:vMerge/>
            <w:vAlign w:val="center"/>
          </w:tcPr>
          <w:p/>
        </w:tc>
        <w:tc>
          <w:tcPr>
            <w:tcW w:w="631" w:type="dxa"/>
            <w:vMerge/>
            <w:vAlign w:val="center"/>
          </w:tcPr>
          <w:p/>
        </w:tc>
        <w:tc>
          <w:tcPr>
            <w:tcW w:w="1260" w:type="dxa"/>
            <w:tcBorders>
              <w:tl2br w:val="nil"/>
              <w:tr2bl w:val="nil"/>
            </w:tcBorders>
            <w:vAlign w:val="center"/>
          </w:tcPr>
          <w:p>
            <w:pPr>
              <w:spacing w:line="400" w:lineRule="exact"/>
              <w:jc w:val="center"/>
              <w:rPr>
                <w:rFonts w:eastAsia="方正仿宋_GBK" w:cs="宋体"/>
                <w:b/>
                <w:bCs/>
                <w:sz w:val="24"/>
              </w:rPr>
            </w:pPr>
            <w:r>
              <w:rPr>
                <w:rFonts w:eastAsia="方正仿宋_GBK" w:cs="宋体"/>
                <w:b/>
                <w:bCs/>
                <w:sz w:val="24"/>
              </w:rPr>
              <w:t>售后服务方案</w:t>
            </w:r>
          </w:p>
          <w:p>
            <w:pPr>
              <w:spacing w:line="400" w:lineRule="exact"/>
              <w:jc w:val="center"/>
              <w:rPr>
                <w:rFonts w:eastAsia="方正仿宋_GBK" w:cs="宋体"/>
                <w:b/>
                <w:bCs/>
                <w:sz w:val="24"/>
              </w:rPr>
            </w:pPr>
            <w:r>
              <w:rPr>
                <w:rFonts w:eastAsia="方正仿宋_GBK" w:cs="宋体" w:hint="eastAsia"/>
                <w:b/>
                <w:bCs/>
                <w:sz w:val="24"/>
              </w:rPr>
              <w:t>（</w:t>
            </w:r>
            <w:r>
              <w:rPr>
                <w:rFonts w:eastAsia="方正仿宋_GBK" w:cs="宋体"/>
                <w:b/>
                <w:bCs/>
                <w:sz w:val="24"/>
              </w:rPr>
              <w:t>20</w:t>
            </w:r>
            <w:r>
              <w:rPr>
                <w:rFonts w:eastAsia="方正仿宋_GBK" w:cs="宋体" w:hint="eastAsia"/>
                <w:b/>
                <w:bCs/>
                <w:sz w:val="24"/>
              </w:rPr>
              <w:t>分）</w:t>
            </w:r>
          </w:p>
        </w:tc>
        <w:tc>
          <w:tcPr>
            <w:tcW w:w="6131" w:type="dxa"/>
            <w:vAlign w:val="center"/>
          </w:tcPr>
          <w:p>
            <w:pPr>
              <w:spacing w:line="400" w:lineRule="exact"/>
              <w:rPr>
                <w:rFonts w:ascii="宋体" w:cs="宋体"/>
                <w:color w:val="000000"/>
                <w:kern w:val="0"/>
                <w:sz w:val="24"/>
                <w:szCs w:val="24"/>
              </w:rPr>
            </w:pPr>
            <w:r>
              <w:rPr>
                <w:rFonts w:ascii="宋体" w:cs="宋体"/>
                <w:color w:val="000000"/>
                <w:kern w:val="0"/>
                <w:sz w:val="24"/>
                <w:szCs w:val="24"/>
              </w:rPr>
              <w:t>未提供相关内容或提供的内容与本项目不相符得0分。</w:t>
            </w:r>
          </w:p>
          <w:p>
            <w:pPr>
              <w:spacing w:line="400" w:lineRule="exact"/>
              <w:rPr>
                <w:rFonts w:ascii="宋体" w:cs="宋体"/>
                <w:color w:val="000000"/>
                <w:kern w:val="0"/>
                <w:sz w:val="24"/>
                <w:szCs w:val="24"/>
              </w:rPr>
            </w:pPr>
            <w:r>
              <w:rPr>
                <w:rFonts w:ascii="宋体" w:cs="宋体"/>
                <w:color w:val="000000"/>
                <w:kern w:val="0"/>
                <w:sz w:val="24"/>
                <w:szCs w:val="24"/>
              </w:rPr>
              <w:t>根据售后服务方案对本项目的合理性、可行性，服务流程、团队、时限承诺等进行综合评定。</w:t>
            </w:r>
          </w:p>
          <w:p>
            <w:pPr>
              <w:spacing w:line="400" w:lineRule="exact"/>
              <w:rPr>
                <w:rFonts w:ascii="宋体" w:cs="宋体"/>
                <w:color w:val="000000"/>
                <w:kern w:val="0"/>
                <w:sz w:val="24"/>
                <w:szCs w:val="24"/>
              </w:rPr>
            </w:pPr>
            <w:r>
              <w:rPr>
                <w:rFonts w:ascii="宋体" w:cs="宋体"/>
                <w:color w:val="000000"/>
                <w:kern w:val="0"/>
                <w:sz w:val="24"/>
                <w:szCs w:val="24"/>
              </w:rPr>
              <w:t>分一档（14-20分）、二档（7-13分）、三档（6分以下）进行评分。</w:t>
            </w:r>
          </w:p>
        </w:tc>
      </w:tr>
      <w:tr>
        <w:trPr>
          <w:trHeight w:val="444"/>
        </w:trPr>
        <w:tc>
          <w:tcPr>
            <w:tcW w:w="485" w:type="dxa"/>
            <w:vAlign w:val="center"/>
          </w:tcPr>
          <w:p>
            <w:pPr>
              <w:spacing w:line="400" w:lineRule="exact"/>
              <w:jc w:val="center"/>
              <w:rPr>
                <w:rFonts w:ascii="宋体" w:cs="Arial"/>
                <w:sz w:val="24"/>
                <w:szCs w:val="24"/>
              </w:rPr>
            </w:pPr>
            <w:r>
              <w:rPr>
                <w:rFonts w:ascii="宋体" w:cs="Arial"/>
                <w:sz w:val="24"/>
                <w:szCs w:val="24"/>
              </w:rPr>
              <w:t>3</w:t>
            </w:r>
          </w:p>
        </w:tc>
        <w:tc>
          <w:tcPr>
            <w:tcW w:w="2381" w:type="dxa"/>
            <w:gridSpan w:val="2"/>
            <w:tcBorders>
              <w:left w:val="single" w:sz="4" w:space="0" w:color="auto"/>
            </w:tcBorders>
            <w:vAlign w:val="center"/>
          </w:tcPr>
          <w:p>
            <w:pPr>
              <w:spacing w:line="400" w:lineRule="exact"/>
              <w:jc w:val="center"/>
              <w:rPr>
                <w:rFonts w:ascii="宋体" w:cs="宋体"/>
                <w:b/>
                <w:bCs/>
                <w:sz w:val="24"/>
                <w:szCs w:val="24"/>
              </w:rPr>
            </w:pPr>
            <w:r>
              <w:rPr>
                <w:rFonts w:eastAsia="方正仿宋_GBK" w:cs="宋体"/>
                <w:b/>
                <w:bCs/>
                <w:sz w:val="24"/>
              </w:rPr>
              <w:t>商务分</w:t>
            </w:r>
            <w:r>
              <w:rPr>
                <w:rFonts w:ascii="宋体" w:cs="宋体" w:hint="eastAsia"/>
                <w:b/>
                <w:bCs/>
                <w:sz w:val="24"/>
                <w:szCs w:val="24"/>
              </w:rPr>
              <w:t>（</w:t>
            </w:r>
            <w:r>
              <w:rPr>
                <w:rFonts w:ascii="宋体" w:cs="宋体"/>
                <w:b/>
                <w:bCs/>
                <w:sz w:val="24"/>
                <w:szCs w:val="24"/>
              </w:rPr>
              <w:t>10</w:t>
            </w:r>
            <w:r>
              <w:rPr>
                <w:rFonts w:ascii="宋体" w:cs="宋体" w:hint="eastAsia"/>
                <w:b/>
                <w:bCs/>
                <w:sz w:val="24"/>
                <w:szCs w:val="24"/>
              </w:rPr>
              <w:t>分）</w:t>
            </w:r>
          </w:p>
        </w:tc>
        <w:tc>
          <w:tcPr>
            <w:tcW w:w="6131" w:type="dxa"/>
          </w:tcPr>
          <w:p>
            <w:pPr>
              <w:spacing w:line="400" w:lineRule="exact"/>
              <w:rPr>
                <w:rFonts w:ascii="宋体" w:cs="宋体"/>
                <w:color w:val="000000"/>
                <w:kern w:val="0"/>
                <w:sz w:val="24"/>
                <w:szCs w:val="24"/>
              </w:rPr>
            </w:pPr>
            <w:r>
              <w:rPr>
                <w:rFonts w:ascii="宋体" w:cs="宋体"/>
                <w:color w:val="000000"/>
                <w:kern w:val="0"/>
                <w:sz w:val="24"/>
                <w:szCs w:val="24"/>
              </w:rPr>
              <w:t>供应商自2023年1月1日至今承接有类似业绩，每个业绩得5分，满分10分。（提供有效合同关键页复印件或中标/成交通知书复印件并加盖供应商公章，否则不予计分）</w:t>
            </w:r>
            <w:r>
              <w:rPr>
                <w:rFonts w:ascii="宋体" w:cs="宋体" w:hint="eastAsia"/>
                <w:color w:val="000000"/>
                <w:kern w:val="0"/>
                <w:sz w:val="24"/>
                <w:szCs w:val="24"/>
              </w:rPr>
              <w:t>。</w:t>
            </w:r>
          </w:p>
        </w:tc>
      </w:tr>
    </w:tbl>
    <w:p>
      <w:pPr>
        <w:snapToGrid w:val="0"/>
        <w:spacing w:line="480" w:lineRule="exact"/>
        <w:ind w:firstLineChars="196" w:firstLine="549"/>
        <w:jc w:val="left"/>
        <w:rPr>
          <w:rFonts w:ascii="仿宋_GB2312" w:eastAsia="仿宋_GB2312" w:cs="Courier New"/>
          <w:b/>
          <w:sz w:val="28"/>
          <w:szCs w:val="28"/>
        </w:rPr>
      </w:pPr>
      <w:r>
        <w:rPr>
          <w:rFonts w:ascii="仿宋_GB2312" w:eastAsia="仿宋_GB2312" w:cs="Courier New" w:hint="eastAsia"/>
          <w:b/>
          <w:sz w:val="28"/>
          <w:szCs w:val="28"/>
        </w:rPr>
        <w:t>（三）成交候选人确定/推荐原则</w:t>
      </w:r>
    </w:p>
    <w:p>
      <w:pPr>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w:t>
      </w:r>
      <w:r>
        <w:rPr>
          <w:rFonts w:ascii="方正仿宋_GBK" w:eastAsia="方正仿宋_GBK"/>
          <w:color w:val="000000"/>
          <w:sz w:val="28"/>
          <w:szCs w:val="28"/>
        </w:rPr>
        <w:t>价格分、技术分、商务分</w:t>
      </w:r>
      <w:r>
        <w:rPr>
          <w:rFonts w:ascii="方正仿宋_GBK" w:eastAsia="方正仿宋_GBK" w:hint="eastAsia"/>
          <w:color w:val="000000"/>
          <w:sz w:val="28"/>
          <w:szCs w:val="28"/>
        </w:rPr>
        <w:t>的顺序排列），并依照次序确定/推荐成交候选人。</w:t>
      </w:r>
    </w:p>
    <w:p>
      <w:pPr>
        <w:spacing w:line="480" w:lineRule="exact"/>
        <w:ind w:firstLine="630"/>
        <w:rPr>
          <w:rFonts w:eastAsia="方正仿宋_GBK"/>
          <w:sz w:val="28"/>
          <w:szCs w:val="28"/>
        </w:rPr>
      </w:pPr>
      <w:r>
        <w:rPr>
          <w:rFonts w:eastAsia="方正黑体_GBK" w:hint="eastAsia"/>
          <w:color w:val="000000"/>
          <w:sz w:val="28"/>
          <w:szCs w:val="28"/>
        </w:rPr>
        <w:t>六</w:t>
      </w:r>
      <w:r>
        <w:rPr>
          <w:rFonts w:eastAsia="方正黑体_GBK"/>
          <w:color w:val="000000"/>
          <w:sz w:val="28"/>
          <w:szCs w:val="28"/>
        </w:rPr>
        <w:t>、评审地点</w:t>
      </w:r>
      <w:r>
        <w:rPr>
          <w:rFonts w:eastAsia="方正仿宋_GBK"/>
          <w:color w:val="000000"/>
          <w:sz w:val="28"/>
          <w:szCs w:val="28"/>
        </w:rPr>
        <w:t>：</w:t>
      </w:r>
      <w:r>
        <w:rPr>
          <w:rFonts w:eastAsia="方正仿宋_GBK" w:hint="eastAsia"/>
          <w:color w:val="000000"/>
          <w:sz w:val="28"/>
          <w:szCs w:val="28"/>
        </w:rPr>
        <w:t>梧州海关办公大楼9楼会议室。</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方正楷体_GBK">
    <w:altName w:val="微软雅黑"/>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 w:name="Courier New">
    <w:panose1 w:val="02070309020205020404"/>
    <w:charset w:val="00"/>
    <w:family w:val="moder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兰亭黑_GBK">
    <w:altName w:val="华文仿宋"/>
    <w:panose1 w:val="00000000000000000000"/>
    <w:charset w:val="86"/>
    <w:family w:val="script"/>
    <w:pitch w:val="variable"/>
    <w:sig w:usb0="A00002BF" w:usb1="3ACF7CFA" w:usb2="0008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微软雅黑">
    <w:altName w:val="汉仪行楷简"/>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2"/>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Balloon Text"/>
    <w:basedOn w:val="0"/>
    <w:rPr>
      <w:sz w:val="18"/>
      <w:szCs w:val="18"/>
    </w:rPr>
  </w:style>
  <w:style w:type="paragraph" w:styleId="18">
    <w:name w:val="Plain Text"/>
    <w:basedOn w:val="0"/>
    <w:rPr>
      <w:rFonts w:ascii="宋体"/>
    </w:rPr>
  </w:style>
  <w:style w:type="character" w:customStyle="1" w:styleId="19">
    <w:name w:val="纯文本 Char"/>
    <w:basedOn w:val="10"/>
    <w:rPr>
      <w:rFonts w:ascii="宋体" w:eastAsia="宋体" w:cs="Courier New"/>
      <w:szCs w:val="21"/>
    </w:rPr>
  </w:style>
  <w:style w:type="paragraph" w:styleId="20">
    <w:name w:val="Normal (Web)"/>
    <w:basedOn w:val="0"/>
    <w:pPr>
      <w:widowControl/>
      <w:spacing w:line="480" w:lineRule="auto"/>
      <w:jc w:val="left"/>
    </w:pPr>
    <w:rPr>
      <w:rFonts w:ascii="宋体" w:eastAsia="微软雅黑" w:cs="宋体" w:hAnsi="宋体"/>
      <w:kern w:val="0"/>
      <w:sz w:val="24"/>
      <w:szCs w:val="24"/>
    </w:rPr>
  </w:style>
  <w:style w:type="paragraph" w:customStyle="1" w:styleId="21">
    <w:name w:val="样式 22 10 磅"/>
    <w:pPr>
      <w:widowControl w:val="0"/>
      <w:jc w:val="both"/>
    </w:pPr>
    <w:rPr>
      <w:rFonts w:ascii="Calibri" w:eastAsia="宋体" w:cs="Times New Roman" w:hAnsi="Calibri"/>
      <w:kern w:val="2"/>
      <w:sz w:val="21"/>
      <w:szCs w:val="24"/>
      <w:lang w:val="en-US" w:eastAsia="zh-CN" w:bidi="ar-SA"/>
    </w:rPr>
  </w:style>
  <w:style w:type="paragraph" w:customStyle="1" w:styleId="22">
    <w:name w:val="样式 三号"/>
    <w:pPr>
      <w:spacing w:line="560" w:lineRule="exact"/>
      <w:ind w:firstLineChars="200" w:firstLine="200"/>
    </w:pPr>
    <w:rPr>
      <w:rFonts w:ascii="Times New Roman" w:eastAsia="方正仿宋_GBK" w:cs="Times New Roman" w:hAnsi="Times New Roman"/>
      <w:sz w:val="32"/>
      <w:szCs w:val="22"/>
      <w:lang w:val="en-US" w:eastAsia="zh-CN" w:bidi="en-US"/>
    </w:rPr>
  </w:style>
  <w:style w:type="paragraph" w:customStyle="1" w:styleId="23">
    <w:name w:val="样式 24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756</TotalTime>
  <Application>Yozo_Office</Application>
  <Pages>3</Pages>
  <Words>1401</Words>
  <Characters>1455</Characters>
  <Lines>92</Lines>
  <Paragraphs>64</Paragraphs>
  <CharactersWithSpaces>1455</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张顺</dc:creator>
  <cp:lastModifiedBy>刘涛</cp:lastModifiedBy>
  <cp:revision>26</cp:revision>
  <cp:lastPrinted>2022-04-12T09:32:00Z</cp:lastPrinted>
  <dcterms:created xsi:type="dcterms:W3CDTF">2022-08-23T09:15:00Z</dcterms:created>
  <dcterms:modified xsi:type="dcterms:W3CDTF">2026-07-16T06:56:37Z</dcterms:modified>
</cp:coreProperties>
</file>