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3"/>
        <w:spacing w:line="540" w:lineRule="exact"/>
        <w:jc w:val="center"/>
        <w:rPr>
          <w:rFonts w:eastAsia="方正小标宋_GBK"/>
          <w:bCs/>
          <w:color w:val="000000"/>
          <w:sz w:val="32"/>
          <w:szCs w:val="32"/>
        </w:rPr>
      </w:pPr>
      <w:bookmarkStart w:id="0" w:name="_Toc326217563"/>
      <w:r>
        <w:rPr>
          <w:rFonts w:eastAsia="方正小标宋_GBK"/>
          <w:bCs/>
          <w:color w:val="000000"/>
          <w:sz w:val="32"/>
          <w:szCs w:val="32"/>
        </w:rPr>
        <w:t>评</w:t>
      </w:r>
      <w:r>
        <w:rPr>
          <w:rFonts w:eastAsia="方正小标宋_GBK" w:hint="eastAsia"/>
          <w:bCs/>
          <w:color w:val="000000"/>
          <w:sz w:val="32"/>
          <w:szCs w:val="32"/>
        </w:rPr>
        <w:t>审</w:t>
      </w:r>
      <w:r>
        <w:rPr>
          <w:rFonts w:eastAsia="方正小标宋_GBK"/>
          <w:bCs/>
          <w:color w:val="000000"/>
          <w:sz w:val="32"/>
          <w:szCs w:val="32"/>
        </w:rPr>
        <w:t>办法</w:t>
      </w:r>
    </w:p>
    <w:p>
      <w:pPr>
        <w:pStyle w:val="33"/>
        <w:spacing w:line="540" w:lineRule="exact"/>
        <w:jc w:val="center"/>
        <w:rPr>
          <w:rFonts w:ascii="方正小标宋_GBK" w:eastAsia="方正小标宋_GBK"/>
          <w:bCs/>
          <w:color w:val="000000"/>
          <w:sz w:val="28"/>
          <w:szCs w:val="28"/>
        </w:rPr>
      </w:pPr>
      <w:r>
        <w:rPr>
          <w:rFonts w:ascii="方正小标宋_GBK" w:eastAsia="方正小标宋_GBK" w:hint="eastAsia"/>
          <w:bCs/>
          <w:color w:val="000000"/>
          <w:sz w:val="28"/>
          <w:szCs w:val="28"/>
        </w:rPr>
        <w:t>（综合评分法）</w:t>
      </w:r>
    </w:p>
    <w:p>
      <w:pPr>
        <w:pStyle w:val="33"/>
        <w:spacing w:line="480" w:lineRule="exact"/>
        <w:ind w:firstLineChars="200" w:firstLine="560"/>
        <w:rPr>
          <w:rFonts w:eastAsia="方正黑体_GBK"/>
          <w:color w:val="000000"/>
          <w:sz w:val="28"/>
          <w:szCs w:val="28"/>
        </w:rPr>
      </w:pPr>
      <w:r>
        <w:rPr>
          <w:rFonts w:eastAsia="方正黑体_GBK"/>
          <w:color w:val="000000"/>
          <w:sz w:val="28"/>
          <w:szCs w:val="28"/>
        </w:rPr>
        <w:t>一、</w:t>
      </w:r>
      <w:r>
        <w:rPr>
          <w:rFonts w:ascii="方正黑体_GBK" w:eastAsia="方正黑体_GBK" w:hint="eastAsia"/>
          <w:b/>
          <w:color w:val="000000"/>
          <w:sz w:val="28"/>
          <w:szCs w:val="28"/>
        </w:rPr>
        <w:t>响应文件送达及密封检查</w:t>
      </w:r>
    </w:p>
    <w:p>
      <w:pPr>
        <w:pStyle w:val="33"/>
        <w:spacing w:line="480" w:lineRule="exact"/>
        <w:ind w:firstLineChars="200" w:firstLine="560"/>
        <w:rPr>
          <w:rFonts w:ascii="方正楷体_GBK" w:eastAsia="方正楷体_GBK"/>
          <w:b/>
          <w:color w:val="000000"/>
          <w:sz w:val="28"/>
          <w:szCs w:val="28"/>
        </w:rPr>
      </w:pPr>
      <w:r>
        <w:rPr>
          <w:rFonts w:ascii="方正楷体_GBK" w:eastAsia="方正楷体_GBK"/>
          <w:b/>
          <w:color w:val="000000"/>
          <w:sz w:val="28"/>
          <w:szCs w:val="28"/>
        </w:rPr>
        <w:t>（一）</w:t>
      </w:r>
      <w:r>
        <w:rPr>
          <w:rFonts w:ascii="方正楷体_GBK" w:eastAsia="方正楷体_GBK" w:hint="eastAsia"/>
          <w:b/>
          <w:color w:val="000000"/>
          <w:sz w:val="28"/>
          <w:szCs w:val="28"/>
        </w:rPr>
        <w:t>查看响应文件送达时间：</w:t>
      </w:r>
    </w:p>
    <w:p>
      <w:pPr>
        <w:pStyle w:val="33"/>
        <w:spacing w:line="480" w:lineRule="exact"/>
        <w:ind w:firstLineChars="200" w:firstLine="560"/>
        <w:rPr>
          <w:rFonts w:eastAsia="方正仿宋_GBK"/>
          <w:color w:val="000000"/>
          <w:sz w:val="28"/>
          <w:szCs w:val="28"/>
        </w:rPr>
      </w:pPr>
      <w:r>
        <w:rPr>
          <w:rFonts w:eastAsia="方正仿宋_GBK" w:hint="eastAsia"/>
          <w:color w:val="000000"/>
          <w:sz w:val="28"/>
          <w:szCs w:val="28"/>
        </w:rPr>
        <w:t>在《采购公告》规定的</w:t>
      </w:r>
      <w:r>
        <w:rPr>
          <w:rFonts w:eastAsia="方正仿宋_GBK"/>
          <w:color w:val="000000"/>
          <w:sz w:val="28"/>
          <w:szCs w:val="28"/>
        </w:rPr>
        <w:t>报价截止时间之前将响应文件送达</w:t>
      </w:r>
      <w:r>
        <w:rPr>
          <w:rFonts w:eastAsia="方正仿宋_GBK" w:hint="eastAsia"/>
          <w:color w:val="000000"/>
          <w:sz w:val="28"/>
          <w:szCs w:val="28"/>
        </w:rPr>
        <w:t>。</w:t>
      </w:r>
    </w:p>
    <w:p>
      <w:pPr>
        <w:pStyle w:val="33"/>
        <w:spacing w:line="480" w:lineRule="exact"/>
        <w:ind w:left="640"/>
        <w:rPr>
          <w:rFonts w:eastAsia="方正仿宋_GBK"/>
          <w:color w:val="000000"/>
          <w:sz w:val="28"/>
          <w:szCs w:val="28"/>
        </w:rPr>
      </w:pPr>
      <w:r>
        <w:rPr>
          <w:rFonts w:ascii="方正楷体_GBK" w:eastAsia="方正楷体_GBK"/>
          <w:b/>
          <w:color w:val="000000"/>
          <w:sz w:val="28"/>
          <w:szCs w:val="28"/>
        </w:rPr>
        <w:t>（</w:t>
      </w:r>
      <w:r>
        <w:rPr>
          <w:rFonts w:ascii="方正楷体_GBK" w:eastAsia="方正楷体_GBK" w:hint="eastAsia"/>
          <w:b/>
          <w:color w:val="000000"/>
          <w:sz w:val="28"/>
          <w:szCs w:val="28"/>
        </w:rPr>
        <w:t>二</w:t>
      </w:r>
      <w:r>
        <w:rPr>
          <w:rFonts w:ascii="方正楷体_GBK" w:eastAsia="方正楷体_GBK"/>
          <w:b/>
          <w:color w:val="000000"/>
          <w:sz w:val="28"/>
          <w:szCs w:val="28"/>
        </w:rPr>
        <w:t>）响应文件包装密封要求</w:t>
      </w:r>
      <w:r>
        <w:rPr>
          <w:rFonts w:eastAsia="方正仿宋_GBK"/>
          <w:color w:val="000000"/>
          <w:sz w:val="28"/>
          <w:szCs w:val="28"/>
        </w:rPr>
        <w:t>。</w:t>
      </w:r>
    </w:p>
    <w:p>
      <w:pPr>
        <w:pStyle w:val="33"/>
        <w:spacing w:line="480" w:lineRule="exact"/>
        <w:ind w:firstLineChars="200" w:firstLine="560"/>
        <w:rPr>
          <w:rFonts w:eastAsia="方正仿宋_GBK"/>
          <w:color w:val="000000"/>
          <w:sz w:val="28"/>
          <w:szCs w:val="28"/>
        </w:rPr>
      </w:pPr>
      <w:r>
        <w:rPr>
          <w:rFonts w:eastAsia="方正仿宋_GBK" w:hint="eastAsia"/>
          <w:color w:val="000000"/>
          <w:sz w:val="28"/>
          <w:szCs w:val="28"/>
        </w:rPr>
        <w:t>供应商</w:t>
      </w:r>
      <w:r>
        <w:rPr>
          <w:rFonts w:eastAsia="方正仿宋_GBK"/>
          <w:color w:val="000000"/>
          <w:sz w:val="28"/>
          <w:szCs w:val="28"/>
        </w:rPr>
        <w:t>应将所有响应文件装在一个密封袋内，</w:t>
      </w:r>
      <w:r>
        <w:rPr>
          <w:rFonts w:eastAsia="方正仿宋_GBK" w:hint="eastAsia"/>
          <w:color w:val="000000"/>
          <w:sz w:val="28"/>
          <w:szCs w:val="28"/>
        </w:rPr>
        <w:t>响应文件</w:t>
      </w:r>
      <w:r>
        <w:rPr>
          <w:rFonts w:eastAsia="方正仿宋_GBK"/>
          <w:color w:val="000000"/>
          <w:sz w:val="28"/>
          <w:szCs w:val="28"/>
        </w:rPr>
        <w:t>密封袋的封口处应加贴封条并加盖</w:t>
      </w:r>
      <w:r>
        <w:rPr>
          <w:rFonts w:eastAsia="方正仿宋_GBK" w:hint="eastAsia"/>
          <w:color w:val="000000"/>
          <w:sz w:val="28"/>
          <w:szCs w:val="28"/>
        </w:rPr>
        <w:t>供应商</w:t>
      </w:r>
      <w:r>
        <w:rPr>
          <w:rFonts w:eastAsia="方正仿宋_GBK"/>
          <w:color w:val="000000"/>
          <w:sz w:val="28"/>
          <w:szCs w:val="28"/>
        </w:rPr>
        <w:t>法人单位公章以示密封。</w:t>
      </w:r>
    </w:p>
    <w:p>
      <w:pPr>
        <w:pStyle w:val="33"/>
        <w:spacing w:line="480" w:lineRule="exact"/>
        <w:ind w:firstLineChars="200" w:firstLine="560"/>
        <w:rPr>
          <w:rFonts w:eastAsia="方正黑体_GBK"/>
          <w:color w:val="000000"/>
          <w:sz w:val="28"/>
          <w:szCs w:val="28"/>
        </w:rPr>
      </w:pPr>
      <w:r>
        <w:rPr>
          <w:rFonts w:eastAsia="方正黑体_GBK"/>
          <w:color w:val="000000"/>
          <w:sz w:val="28"/>
          <w:szCs w:val="28"/>
        </w:rPr>
        <w:t>二、资</w:t>
      </w:r>
      <w:r>
        <w:rPr>
          <w:rFonts w:eastAsia="方正黑体_GBK" w:hint="eastAsia"/>
          <w:color w:val="000000"/>
          <w:sz w:val="28"/>
          <w:szCs w:val="28"/>
        </w:rPr>
        <w:t>格审查</w:t>
      </w:r>
    </w:p>
    <w:p>
      <w:pPr>
        <w:pStyle w:val="33"/>
        <w:spacing w:line="480" w:lineRule="exact"/>
        <w:ind w:firstLineChars="200" w:firstLine="560"/>
        <w:rPr>
          <w:rFonts w:eastAsia="方正仿宋_GBK"/>
          <w:color w:val="000000"/>
          <w:sz w:val="28"/>
          <w:szCs w:val="28"/>
        </w:rPr>
      </w:pPr>
      <w:r>
        <w:rPr>
          <w:rFonts w:eastAsia="方正仿宋_GBK" w:hint="eastAsia"/>
          <w:color w:val="000000"/>
          <w:sz w:val="28"/>
          <w:szCs w:val="28"/>
        </w:rPr>
        <w:t>具备《采购公告》中企业资质，</w:t>
      </w:r>
      <w:r>
        <w:rPr>
          <w:rFonts w:ascii="Times New Roman" w:eastAsia="方正仿宋_GBK" w:cs="Arial" w:hAnsi="Times New Roman" w:hint="eastAsia"/>
          <w:kern w:val="2"/>
          <w:sz w:val="32"/>
          <w:szCs w:val="32"/>
          <w:lang w:val="en-US" w:eastAsia="zh-CN"/>
        </w:rPr>
        <w:t>报价人不足</w:t>
      </w:r>
      <w:r>
        <w:rPr>
          <w:rFonts w:ascii="Times New Roman" w:eastAsia="方正仿宋_GBK" w:cs="Arial" w:hAnsi="Times New Roman"/>
          <w:kern w:val="2"/>
          <w:sz w:val="32"/>
          <w:szCs w:val="32"/>
          <w:lang w:val="en-US" w:eastAsia="zh-CN"/>
        </w:rPr>
        <w:t>3</w:t>
      </w:r>
      <w:r>
        <w:rPr>
          <w:rFonts w:ascii="Times New Roman" w:eastAsia="方正仿宋_GBK" w:cs="Arial" w:hAnsi="Times New Roman" w:hint="eastAsia"/>
          <w:kern w:val="2"/>
          <w:sz w:val="32"/>
          <w:szCs w:val="32"/>
          <w:lang w:val="en-US" w:eastAsia="zh-CN"/>
        </w:rPr>
        <w:t>家的，采购公告时间延长</w:t>
      </w:r>
      <w:r>
        <w:rPr>
          <w:rFonts w:ascii="Times New Roman" w:eastAsia="方正仿宋_GBK" w:cs="Arial" w:hAnsi="Times New Roman"/>
          <w:kern w:val="2"/>
          <w:sz w:val="32"/>
          <w:szCs w:val="32"/>
          <w:lang w:val="en-US" w:eastAsia="zh-CN"/>
        </w:rPr>
        <w:t>2</w:t>
      </w:r>
      <w:r>
        <w:rPr>
          <w:rFonts w:ascii="Times New Roman" w:eastAsia="方正仿宋_GBK" w:cs="Arial" w:hAnsi="Times New Roman" w:hint="eastAsia"/>
          <w:kern w:val="2"/>
          <w:sz w:val="32"/>
          <w:szCs w:val="32"/>
          <w:lang w:val="en-US" w:eastAsia="zh-CN"/>
        </w:rPr>
        <w:t>个工作日，若延长公告期后依然不足</w:t>
      </w:r>
      <w:r>
        <w:rPr>
          <w:rFonts w:ascii="Times New Roman" w:eastAsia="方正仿宋_GBK" w:cs="Arial" w:hAnsi="Times New Roman"/>
          <w:kern w:val="2"/>
          <w:sz w:val="32"/>
          <w:szCs w:val="32"/>
          <w:lang w:val="en-US" w:eastAsia="zh-CN"/>
        </w:rPr>
        <w:t>3</w:t>
      </w:r>
      <w:r>
        <w:rPr>
          <w:rFonts w:ascii="Times New Roman" w:eastAsia="方正仿宋_GBK" w:cs="Arial" w:hAnsi="Times New Roman" w:hint="eastAsia"/>
          <w:kern w:val="2"/>
          <w:sz w:val="32"/>
          <w:szCs w:val="32"/>
          <w:lang w:val="en-US" w:eastAsia="zh-CN"/>
        </w:rPr>
        <w:t>家时，在已报名的供应商范围内进行比选采购，继续评审。</w:t>
      </w:r>
      <w:bookmarkStart w:id="1" w:name="_GoBack"/>
      <w:bookmarkEnd w:id="1"/>
    </w:p>
    <w:p>
      <w:pPr>
        <w:pStyle w:val="33"/>
        <w:spacing w:line="480" w:lineRule="exact"/>
        <w:ind w:left="640"/>
        <w:rPr>
          <w:rFonts w:eastAsia="方正黑体_GBK"/>
          <w:color w:val="000000"/>
          <w:sz w:val="28"/>
          <w:szCs w:val="28"/>
        </w:rPr>
      </w:pPr>
      <w:r>
        <w:rPr>
          <w:rFonts w:eastAsia="方正黑体_GBK" w:hint="eastAsia"/>
          <w:color w:val="000000"/>
          <w:sz w:val="28"/>
          <w:szCs w:val="28"/>
        </w:rPr>
        <w:t>三、</w:t>
      </w:r>
      <w:r>
        <w:rPr>
          <w:rFonts w:eastAsia="方正黑体_GBK"/>
          <w:color w:val="000000"/>
          <w:sz w:val="28"/>
          <w:szCs w:val="28"/>
        </w:rPr>
        <w:t>符合性审查</w:t>
      </w:r>
    </w:p>
    <w:p>
      <w:pPr>
        <w:pStyle w:val="33"/>
        <w:spacing w:line="480" w:lineRule="exact"/>
        <w:ind w:left="640"/>
        <w:rPr>
          <w:rFonts w:ascii="方正楷体_GBK" w:eastAsia="方正楷体_GBK"/>
          <w:b/>
          <w:color w:val="000000"/>
          <w:sz w:val="28"/>
          <w:szCs w:val="28"/>
        </w:rPr>
      </w:pPr>
      <w:r>
        <w:rPr>
          <w:rFonts w:ascii="方正楷体_GBK" w:eastAsia="方正楷体_GBK"/>
          <w:b/>
          <w:sz w:val="28"/>
          <w:szCs w:val="28"/>
        </w:rPr>
        <w:t>（一）</w:t>
      </w:r>
      <w:r>
        <w:rPr>
          <w:rFonts w:ascii="方正楷体_GBK" w:eastAsia="方正楷体_GBK"/>
          <w:b/>
          <w:color w:val="000000"/>
          <w:sz w:val="28"/>
          <w:szCs w:val="28"/>
        </w:rPr>
        <w:t>响应文件组成：</w:t>
      </w:r>
    </w:p>
    <w:p>
      <w:pPr>
        <w:pStyle w:val="33"/>
        <w:spacing w:line="480" w:lineRule="exact"/>
        <w:ind w:leftChars="-1" w:left="-2" w:firstLineChars="221" w:firstLine="619"/>
        <w:rPr>
          <w:rFonts w:eastAsia="方正仿宋_GBK"/>
          <w:color w:val="000000"/>
          <w:sz w:val="28"/>
        </w:rPr>
      </w:pPr>
      <w:r>
        <w:rPr>
          <w:rFonts w:eastAsia="方正仿宋_GBK"/>
          <w:color w:val="000000"/>
          <w:sz w:val="28"/>
        </w:rPr>
        <w:t>1.报价函（附件1）；</w:t>
      </w:r>
    </w:p>
    <w:p>
      <w:pPr>
        <w:pStyle w:val="33"/>
        <w:spacing w:line="480" w:lineRule="exact"/>
        <w:ind w:leftChars="-1" w:left="-2" w:firstLineChars="221" w:firstLine="619"/>
        <w:rPr>
          <w:rFonts w:eastAsia="方正仿宋_GBK"/>
          <w:color w:val="000000"/>
          <w:sz w:val="28"/>
        </w:rPr>
      </w:pPr>
      <w:r>
        <w:rPr>
          <w:rFonts w:eastAsia="方正仿宋_GBK"/>
          <w:color w:val="000000"/>
          <w:sz w:val="28"/>
        </w:rPr>
        <w:t>2.报价明细表（附件2）；</w:t>
      </w:r>
    </w:p>
    <w:p>
      <w:pPr>
        <w:pStyle w:val="33"/>
        <w:spacing w:line="480" w:lineRule="exact"/>
        <w:ind w:leftChars="-1" w:left="-2" w:firstLineChars="221" w:firstLine="619"/>
        <w:rPr>
          <w:rFonts w:eastAsia="方正仿宋_GBK"/>
          <w:color w:val="000000"/>
          <w:sz w:val="28"/>
        </w:rPr>
      </w:pPr>
      <w:r>
        <w:rPr>
          <w:rFonts w:eastAsia="方正仿宋_GBK"/>
          <w:color w:val="000000"/>
          <w:sz w:val="28"/>
        </w:rPr>
        <w:t>3.商务响应表（附件3）</w:t>
      </w:r>
    </w:p>
    <w:p>
      <w:pPr>
        <w:pStyle w:val="33"/>
        <w:spacing w:line="480" w:lineRule="exact"/>
        <w:ind w:leftChars="-1" w:left="-2" w:firstLineChars="221" w:firstLine="619"/>
        <w:rPr>
          <w:rFonts w:eastAsia="方正仿宋_GBK"/>
          <w:color w:val="000000"/>
          <w:sz w:val="28"/>
        </w:rPr>
      </w:pPr>
      <w:r>
        <w:rPr>
          <w:rFonts w:eastAsia="方正仿宋_GBK"/>
          <w:color w:val="000000"/>
          <w:sz w:val="28"/>
        </w:rPr>
        <w:t>4.声明（附件4）；</w:t>
      </w:r>
    </w:p>
    <w:p>
      <w:pPr>
        <w:pStyle w:val="33"/>
        <w:spacing w:line="480" w:lineRule="exact"/>
        <w:ind w:leftChars="-1" w:left="-2" w:firstLineChars="221" w:firstLine="619"/>
        <w:rPr>
          <w:rFonts w:eastAsia="方正仿宋_GBK"/>
          <w:color w:val="000000"/>
          <w:sz w:val="28"/>
        </w:rPr>
      </w:pPr>
      <w:r>
        <w:rPr>
          <w:rFonts w:eastAsia="方正仿宋_GBK"/>
          <w:color w:val="000000"/>
          <w:sz w:val="28"/>
        </w:rPr>
        <w:t>4.有效的</w:t>
      </w:r>
      <w:r>
        <w:rPr>
          <w:rFonts w:eastAsia="方正仿宋_GBK" w:hint="eastAsia"/>
          <w:color w:val="000000"/>
          <w:sz w:val="28"/>
        </w:rPr>
        <w:t>“</w:t>
      </w:r>
      <w:r>
        <w:rPr>
          <w:rFonts w:eastAsia="方正仿宋_GBK"/>
          <w:color w:val="000000"/>
          <w:sz w:val="28"/>
        </w:rPr>
        <w:t>营业执照</w:t>
      </w:r>
      <w:r>
        <w:rPr>
          <w:rFonts w:eastAsia="方正仿宋_GBK" w:hint="eastAsia"/>
          <w:color w:val="000000"/>
          <w:sz w:val="28"/>
        </w:rPr>
        <w:t>”或“事业单位法人证书”</w:t>
      </w:r>
      <w:r>
        <w:rPr>
          <w:rFonts w:eastAsia="方正仿宋_GBK"/>
          <w:color w:val="000000"/>
          <w:sz w:val="28"/>
        </w:rPr>
        <w:t>副本复印件（必须提供）；</w:t>
      </w:r>
    </w:p>
    <w:p>
      <w:pPr>
        <w:pStyle w:val="33"/>
        <w:spacing w:line="480" w:lineRule="exact"/>
        <w:ind w:leftChars="-1" w:left="-2" w:firstLineChars="221" w:firstLine="619"/>
        <w:rPr>
          <w:rFonts w:eastAsia="方正仿宋_GBK"/>
          <w:color w:val="000000"/>
          <w:sz w:val="28"/>
          <w:szCs w:val="28"/>
        </w:rPr>
      </w:pPr>
      <w:r>
        <w:rPr>
          <w:rFonts w:eastAsia="方正仿宋_GBK"/>
          <w:color w:val="000000"/>
          <w:sz w:val="28"/>
        </w:rPr>
        <w:t>5.供应商的法定代表人身份</w:t>
      </w:r>
      <w:r>
        <w:rPr>
          <w:rFonts w:eastAsia="方正仿宋_GBK"/>
          <w:color w:val="000000"/>
          <w:sz w:val="28"/>
          <w:szCs w:val="28"/>
        </w:rPr>
        <w:t>证正反面复印件（必须提供）；</w:t>
      </w:r>
    </w:p>
    <w:p>
      <w:pPr>
        <w:pStyle w:val="33"/>
        <w:spacing w:line="480" w:lineRule="exact"/>
        <w:ind w:leftChars="-1" w:left="-2" w:firstLineChars="221" w:firstLine="619"/>
        <w:rPr>
          <w:rFonts w:eastAsia="方正仿宋_GBK"/>
          <w:sz w:val="28"/>
          <w:szCs w:val="28"/>
        </w:rPr>
      </w:pPr>
      <w:r>
        <w:rPr>
          <w:rFonts w:eastAsia="方正仿宋_GBK"/>
          <w:color w:val="000000"/>
          <w:sz w:val="28"/>
          <w:szCs w:val="28"/>
        </w:rPr>
        <w:t>6.供应商的法人授权委托书、委托代理人身份证正反面复印件（附件5）；（委托代理时必</w:t>
      </w:r>
      <w:r>
        <w:rPr>
          <w:rFonts w:eastAsia="方正仿宋_GBK"/>
          <w:sz w:val="28"/>
          <w:szCs w:val="28"/>
        </w:rPr>
        <w:t>须提供，同时要加盖单位公章，否则被认定为资格审查不合格而报价无效）；</w:t>
      </w:r>
    </w:p>
    <w:p>
      <w:pPr>
        <w:pStyle w:val="33"/>
        <w:spacing w:line="480" w:lineRule="exact"/>
        <w:ind w:leftChars="-1" w:left="-2" w:firstLineChars="221" w:firstLine="619"/>
        <w:rPr>
          <w:rFonts w:eastAsia="方正仿宋_GBK"/>
          <w:sz w:val="28"/>
          <w:szCs w:val="28"/>
        </w:rPr>
      </w:pPr>
      <w:r>
        <w:rPr>
          <w:rFonts w:eastAsia="方正仿宋_GBK"/>
          <w:sz w:val="28"/>
          <w:szCs w:val="28"/>
        </w:rPr>
        <w:t>7.“信用中国”（www.creditchina.gov.cn）信用报告</w:t>
      </w:r>
      <w:r>
        <w:rPr>
          <w:rFonts w:eastAsia="方正仿宋_GBK" w:hint="eastAsia"/>
          <w:sz w:val="28"/>
          <w:szCs w:val="28"/>
        </w:rPr>
        <w:t>及</w:t>
      </w:r>
      <w:r>
        <w:rPr>
          <w:rFonts w:eastAsia="方正仿宋_GBK"/>
          <w:sz w:val="28"/>
          <w:szCs w:val="28"/>
        </w:rPr>
        <w:t>中国政府采购网（www.ccgp.gov.cn）政府采购严重违法失信行为信息记录截图</w:t>
      </w:r>
      <w:r>
        <w:rPr>
          <w:rFonts w:ascii="方正仿宋_GBK" w:eastAsia="方正仿宋_GBK" w:hint="eastAsia"/>
          <w:sz w:val="28"/>
          <w:szCs w:val="28"/>
        </w:rPr>
        <w:t>（必须提供）</w:t>
      </w:r>
      <w:r>
        <w:rPr>
          <w:rFonts w:eastAsia="方正仿宋_GBK"/>
          <w:sz w:val="28"/>
          <w:szCs w:val="28"/>
        </w:rPr>
        <w:t>；</w:t>
      </w:r>
    </w:p>
    <w:p>
      <w:pPr>
        <w:pStyle w:val="33"/>
        <w:spacing w:line="480" w:lineRule="exact"/>
        <w:ind w:leftChars="-1" w:left="-2" w:firstLineChars="221" w:firstLine="619"/>
        <w:rPr>
          <w:rFonts w:eastAsia="方正仿宋_GBK"/>
          <w:sz w:val="28"/>
          <w:szCs w:val="28"/>
        </w:rPr>
      </w:pPr>
      <w:r>
        <w:rPr>
          <w:rFonts w:eastAsia="方正仿宋_GBK"/>
          <w:sz w:val="28"/>
          <w:szCs w:val="28"/>
        </w:rPr>
        <w:t>8.供应商基本情况介绍；</w:t>
      </w:r>
    </w:p>
    <w:p>
      <w:pPr>
        <w:pStyle w:val="33"/>
        <w:spacing w:line="480" w:lineRule="exact"/>
        <w:ind w:leftChars="-1" w:left="-2" w:firstLineChars="221" w:firstLine="619"/>
        <w:rPr>
          <w:rFonts w:eastAsia="方正仿宋_GBK"/>
          <w:sz w:val="28"/>
          <w:szCs w:val="28"/>
        </w:rPr>
      </w:pPr>
      <w:r>
        <w:rPr>
          <w:rFonts w:eastAsia="方正仿宋_GBK"/>
          <w:sz w:val="28"/>
          <w:szCs w:val="28"/>
        </w:rPr>
        <w:t>9.拟派的本项目负责人简历和技术人员表；</w:t>
      </w:r>
    </w:p>
    <w:p>
      <w:pPr>
        <w:pStyle w:val="33"/>
        <w:spacing w:line="480" w:lineRule="exact"/>
        <w:ind w:leftChars="-1" w:left="-2" w:firstLineChars="221" w:firstLine="619"/>
        <w:rPr>
          <w:rFonts w:eastAsia="方正仿宋_GBK"/>
          <w:sz w:val="28"/>
          <w:szCs w:val="28"/>
        </w:rPr>
      </w:pPr>
      <w:r>
        <w:rPr>
          <w:rFonts w:eastAsia="方正仿宋_GBK"/>
          <w:sz w:val="28"/>
          <w:szCs w:val="28"/>
        </w:rPr>
        <w:t>10.近三年同类工作相关业绩；</w:t>
      </w:r>
    </w:p>
    <w:p>
      <w:pPr>
        <w:pStyle w:val="33"/>
        <w:spacing w:line="480" w:lineRule="exact"/>
        <w:ind w:leftChars="-1" w:left="-2" w:firstLineChars="221" w:firstLine="619"/>
        <w:rPr>
          <w:rFonts w:eastAsia="方正仿宋_GBK"/>
          <w:sz w:val="28"/>
          <w:szCs w:val="28"/>
        </w:rPr>
      </w:pPr>
      <w:r>
        <w:rPr>
          <w:rFonts w:eastAsia="方正仿宋_GBK"/>
          <w:sz w:val="28"/>
          <w:szCs w:val="28"/>
        </w:rPr>
        <w:t>11.提供所报价设备的图片及具体参数（如为设备类项目须提供）</w:t>
      </w:r>
      <w:r>
        <w:rPr>
          <w:rFonts w:eastAsia="方正仿宋_GBK" w:hint="eastAsia"/>
          <w:sz w:val="28"/>
          <w:szCs w:val="28"/>
        </w:rPr>
        <w:t>；</w:t>
      </w:r>
    </w:p>
    <w:p>
      <w:pPr>
        <w:pStyle w:val="33"/>
        <w:spacing w:line="480" w:lineRule="exact"/>
        <w:ind w:leftChars="-1" w:left="-2" w:firstLineChars="221" w:firstLine="619"/>
        <w:rPr>
          <w:rFonts w:ascii="方正仿宋_GBK" w:eastAsia="方正仿宋_GBK"/>
          <w:sz w:val="28"/>
          <w:szCs w:val="28"/>
        </w:rPr>
      </w:pPr>
      <w:r>
        <w:rPr>
          <w:rFonts w:eastAsia="方正仿宋_GBK" w:hint="eastAsia"/>
          <w:sz w:val="28"/>
          <w:szCs w:val="28"/>
        </w:rPr>
        <w:t>12.</w:t>
      </w:r>
      <w:r>
        <w:rPr>
          <w:rFonts w:eastAsia="方正仿宋_GBK"/>
          <w:sz w:val="28"/>
          <w:szCs w:val="28"/>
        </w:rPr>
        <w:t>其他证</w:t>
      </w:r>
      <w:r>
        <w:rPr>
          <w:rFonts w:ascii="方正仿宋_GBK" w:eastAsia="方正仿宋_GBK" w:hint="eastAsia"/>
          <w:sz w:val="28"/>
          <w:szCs w:val="28"/>
        </w:rPr>
        <w:t>明文件的复印件（如有请提供）。</w:t>
      </w:r>
    </w:p>
    <w:p>
      <w:pPr>
        <w:pStyle w:val="33"/>
        <w:spacing w:line="560" w:lineRule="exact"/>
        <w:ind w:leftChars="-1" w:left="-2" w:firstLineChars="200" w:firstLine="560"/>
        <w:rPr>
          <w:rFonts w:ascii="方正仿宋_GBK" w:eastAsia="方正仿宋_GBK"/>
          <w:sz w:val="28"/>
          <w:szCs w:val="28"/>
        </w:rPr>
      </w:pPr>
      <w:r>
        <w:rPr>
          <w:rFonts w:ascii="方正仿宋_GBK" w:eastAsia="方正仿宋_GBK" w:hint="eastAsia"/>
          <w:sz w:val="28"/>
          <w:szCs w:val="28"/>
        </w:rPr>
        <w:t>(注：响应文件须按照上述目录顺序装订成册，属于必须提供的材料均要加盖单位公章。响应文件副本材料须加盖封面章或骑缝章。）</w:t>
      </w:r>
    </w:p>
    <w:p>
      <w:pPr>
        <w:pStyle w:val="33"/>
        <w:spacing w:line="480" w:lineRule="exact"/>
        <w:ind w:firstLineChars="200" w:firstLine="560"/>
        <w:rPr>
          <w:rFonts w:eastAsia="方正仿宋_GBK"/>
          <w:sz w:val="28"/>
          <w:szCs w:val="28"/>
        </w:rPr>
      </w:pPr>
      <w:r>
        <w:rPr>
          <w:rFonts w:ascii="方正楷体_GBK" w:eastAsia="方正楷体_GBK"/>
          <w:b/>
          <w:sz w:val="28"/>
          <w:szCs w:val="28"/>
        </w:rPr>
        <w:t>（</w:t>
      </w:r>
      <w:r>
        <w:rPr>
          <w:rFonts w:ascii="方正楷体_GBK" w:eastAsia="方正楷体_GBK" w:hint="eastAsia"/>
          <w:b/>
          <w:sz w:val="28"/>
          <w:szCs w:val="28"/>
        </w:rPr>
        <w:t>二</w:t>
      </w:r>
      <w:r>
        <w:rPr>
          <w:rFonts w:ascii="方正楷体_GBK" w:eastAsia="方正楷体_GBK"/>
          <w:b/>
          <w:sz w:val="28"/>
          <w:szCs w:val="28"/>
        </w:rPr>
        <w:t>）</w:t>
      </w:r>
      <w:r>
        <w:rPr>
          <w:rFonts w:eastAsia="方正仿宋_GBK" w:hint="eastAsia"/>
          <w:sz w:val="28"/>
          <w:szCs w:val="28"/>
        </w:rPr>
        <w:t>属于下列情形的，</w:t>
      </w:r>
      <w:r>
        <w:rPr>
          <w:rFonts w:eastAsia="方正仿宋_GBK"/>
          <w:sz w:val="28"/>
          <w:szCs w:val="28"/>
        </w:rPr>
        <w:t>不</w:t>
      </w:r>
      <w:r>
        <w:rPr>
          <w:rFonts w:eastAsia="方正仿宋_GBK" w:hint="eastAsia"/>
          <w:sz w:val="28"/>
          <w:szCs w:val="28"/>
        </w:rPr>
        <w:t>得</w:t>
      </w:r>
      <w:r>
        <w:rPr>
          <w:rFonts w:eastAsia="方正仿宋_GBK"/>
          <w:sz w:val="28"/>
          <w:szCs w:val="28"/>
        </w:rPr>
        <w:t>参加下一步</w:t>
      </w:r>
      <w:r>
        <w:rPr>
          <w:rFonts w:eastAsia="方正仿宋_GBK" w:hint="eastAsia"/>
          <w:sz w:val="28"/>
          <w:szCs w:val="28"/>
        </w:rPr>
        <w:t>详</w:t>
      </w:r>
      <w:r>
        <w:rPr>
          <w:rFonts w:eastAsia="方正仿宋_GBK"/>
          <w:sz w:val="28"/>
          <w:szCs w:val="28"/>
        </w:rPr>
        <w:t>评</w:t>
      </w:r>
      <w:r>
        <w:rPr>
          <w:rFonts w:eastAsia="方正仿宋_GBK" w:hint="eastAsia"/>
          <w:sz w:val="28"/>
          <w:szCs w:val="28"/>
        </w:rPr>
        <w:t>：</w:t>
      </w:r>
    </w:p>
    <w:p>
      <w:pPr>
        <w:pStyle w:val="33"/>
        <w:spacing w:line="480" w:lineRule="exact"/>
        <w:ind w:leftChars="-1" w:left="-2" w:firstLineChars="221" w:firstLine="619"/>
        <w:rPr>
          <w:rFonts w:eastAsia="方正仿宋_GBK"/>
          <w:sz w:val="28"/>
          <w:szCs w:val="28"/>
        </w:rPr>
      </w:pPr>
      <w:r>
        <w:rPr>
          <w:rFonts w:eastAsia="方正仿宋_GBK"/>
          <w:sz w:val="28"/>
          <w:szCs w:val="28"/>
        </w:rPr>
        <w:t>1.不</w:t>
      </w:r>
      <w:r>
        <w:rPr>
          <w:rFonts w:eastAsia="方正仿宋_GBK" w:hint="eastAsia"/>
          <w:sz w:val="28"/>
          <w:szCs w:val="28"/>
        </w:rPr>
        <w:t>满足</w:t>
      </w:r>
      <w:r>
        <w:rPr>
          <w:rFonts w:eastAsia="方正仿宋_GBK"/>
          <w:sz w:val="28"/>
          <w:szCs w:val="28"/>
        </w:rPr>
        <w:t>上述响应文件要求（标注必须提供的材料未提交的、提供资料不符合要求的）</w:t>
      </w:r>
      <w:r>
        <w:rPr>
          <w:rFonts w:eastAsia="方正仿宋_GBK" w:hint="eastAsia"/>
          <w:sz w:val="28"/>
          <w:szCs w:val="28"/>
        </w:rPr>
        <w:t>；</w:t>
      </w:r>
    </w:p>
    <w:p>
      <w:pPr>
        <w:pStyle w:val="33"/>
        <w:spacing w:line="480" w:lineRule="exact"/>
        <w:ind w:leftChars="-1" w:left="-2" w:firstLineChars="221" w:firstLine="619"/>
        <w:rPr>
          <w:rFonts w:eastAsia="方正仿宋_GBK"/>
          <w:sz w:val="28"/>
          <w:szCs w:val="28"/>
        </w:rPr>
      </w:pPr>
      <w:r>
        <w:rPr>
          <w:rFonts w:eastAsia="方正仿宋_GBK"/>
          <w:sz w:val="28"/>
          <w:szCs w:val="28"/>
        </w:rPr>
        <w:t>2.</w:t>
      </w:r>
      <w:r>
        <w:rPr>
          <w:rFonts w:eastAsia="方正仿宋_GBK" w:hint="eastAsia"/>
          <w:sz w:val="28"/>
          <w:szCs w:val="28"/>
        </w:rPr>
        <w:t>报价</w:t>
      </w:r>
      <w:r>
        <w:rPr>
          <w:rFonts w:eastAsia="方正仿宋_GBK"/>
          <w:sz w:val="28"/>
          <w:szCs w:val="28"/>
        </w:rPr>
        <w:t>超过</w:t>
      </w:r>
      <w:r>
        <w:rPr>
          <w:rFonts w:eastAsia="方正仿宋_GBK" w:hint="eastAsia"/>
          <w:sz w:val="28"/>
          <w:szCs w:val="28"/>
        </w:rPr>
        <w:t>预算金额或</w:t>
      </w:r>
      <w:r>
        <w:rPr>
          <w:rFonts w:eastAsia="方正仿宋_GBK"/>
          <w:sz w:val="28"/>
          <w:szCs w:val="28"/>
        </w:rPr>
        <w:t>严重不平衡、不合理、低于其企业成本</w:t>
      </w:r>
      <w:r>
        <w:rPr>
          <w:rFonts w:eastAsia="方正仿宋_GBK" w:hint="eastAsia"/>
          <w:sz w:val="28"/>
          <w:szCs w:val="28"/>
        </w:rPr>
        <w:t>的；</w:t>
      </w:r>
    </w:p>
    <w:p>
      <w:pPr>
        <w:pStyle w:val="33"/>
        <w:spacing w:line="480" w:lineRule="exact"/>
        <w:ind w:leftChars="-1" w:left="-2" w:firstLineChars="221" w:firstLine="619"/>
        <w:rPr>
          <w:rFonts w:ascii="方正仿宋_GBK" w:eastAsia="方正仿宋_GBK"/>
          <w:sz w:val="28"/>
          <w:szCs w:val="28"/>
        </w:rPr>
      </w:pPr>
      <w:r>
        <w:rPr>
          <w:rFonts w:eastAsia="方正仿宋_GBK"/>
          <w:sz w:val="28"/>
          <w:szCs w:val="28"/>
        </w:rPr>
        <w:t>3.</w:t>
      </w:r>
      <w:r>
        <w:rPr>
          <w:rFonts w:ascii="方正仿宋_GBK" w:eastAsia="方正仿宋_GBK" w:hint="eastAsia"/>
          <w:sz w:val="28"/>
          <w:szCs w:val="28"/>
        </w:rPr>
        <w:t>《采购公告》中列明无效报价的情形；</w:t>
      </w:r>
    </w:p>
    <w:p>
      <w:pPr>
        <w:pStyle w:val="33"/>
        <w:spacing w:line="480" w:lineRule="exact"/>
        <w:ind w:firstLineChars="200" w:firstLine="560"/>
        <w:rPr>
          <w:rFonts w:eastAsia="方正仿宋_GBK"/>
          <w:sz w:val="28"/>
          <w:szCs w:val="28"/>
        </w:rPr>
      </w:pPr>
      <w:r>
        <w:rPr>
          <w:rFonts w:ascii="方正楷体_GBK" w:eastAsia="方正楷体_GBK"/>
          <w:b/>
          <w:sz w:val="28"/>
          <w:szCs w:val="28"/>
        </w:rPr>
        <w:t>（</w:t>
      </w:r>
      <w:r>
        <w:rPr>
          <w:rFonts w:ascii="方正楷体_GBK" w:eastAsia="方正楷体_GBK" w:hint="eastAsia"/>
          <w:b/>
          <w:sz w:val="28"/>
          <w:szCs w:val="28"/>
        </w:rPr>
        <w:t>三</w:t>
      </w:r>
      <w:r>
        <w:rPr>
          <w:rFonts w:ascii="方正楷体_GBK" w:eastAsia="方正楷体_GBK"/>
          <w:b/>
          <w:sz w:val="28"/>
          <w:szCs w:val="28"/>
        </w:rPr>
        <w:t>）</w:t>
      </w:r>
      <w:r>
        <w:rPr>
          <w:rFonts w:ascii="方正楷体_GBK" w:eastAsia="方正楷体_GBK" w:hint="eastAsia"/>
          <w:b/>
          <w:sz w:val="28"/>
          <w:szCs w:val="28"/>
        </w:rPr>
        <w:t xml:space="preserve"> </w:t>
      </w:r>
      <w:r>
        <w:rPr>
          <w:rFonts w:eastAsia="方正仿宋_GBK"/>
          <w:sz w:val="28"/>
          <w:szCs w:val="28"/>
        </w:rPr>
        <w:t>报价函</w:t>
      </w:r>
      <w:r>
        <w:rPr>
          <w:rFonts w:eastAsia="方正仿宋_GBK" w:hint="eastAsia"/>
          <w:sz w:val="28"/>
          <w:szCs w:val="28"/>
        </w:rPr>
        <w:t>与</w:t>
      </w:r>
      <w:r>
        <w:rPr>
          <w:rFonts w:eastAsia="方正仿宋_GBK"/>
          <w:sz w:val="28"/>
          <w:szCs w:val="28"/>
        </w:rPr>
        <w:t>报价明细表</w:t>
      </w:r>
      <w:r>
        <w:rPr>
          <w:rFonts w:eastAsia="方正仿宋_GBK" w:hint="eastAsia"/>
          <w:sz w:val="28"/>
          <w:szCs w:val="28"/>
        </w:rPr>
        <w:t>的报价不一致时，以报价函价格为准，报价大、小写不一致时，以大写价格为准。</w:t>
      </w:r>
    </w:p>
    <w:p>
      <w:pPr>
        <w:pStyle w:val="33"/>
        <w:spacing w:line="480" w:lineRule="exact"/>
        <w:ind w:firstLineChars="200" w:firstLine="560"/>
        <w:rPr>
          <w:rFonts w:ascii="方正黑体_GBK" w:eastAsia="方正黑体_GBK"/>
          <w:sz w:val="28"/>
          <w:szCs w:val="28"/>
        </w:rPr>
      </w:pPr>
      <w:r>
        <w:rPr>
          <w:rFonts w:ascii="方正黑体_GBK" w:eastAsia="方正黑体_GBK" w:hint="eastAsia"/>
          <w:sz w:val="28"/>
          <w:szCs w:val="28"/>
        </w:rPr>
        <w:t>四、评审方法及评分标准</w:t>
      </w:r>
    </w:p>
    <w:p>
      <w:pPr>
        <w:pStyle w:val="33"/>
        <w:spacing w:line="480" w:lineRule="exact"/>
        <w:ind w:firstLineChars="228" w:firstLine="638"/>
        <w:rPr>
          <w:rFonts w:ascii="方正黑体_GBK" w:eastAsia="方正黑体_GBK"/>
          <w:strike/>
          <w:dstrike w:val="0"/>
          <w:color w:val="FF0000"/>
          <w:sz w:val="28"/>
          <w:szCs w:val="28"/>
        </w:rPr>
      </w:pPr>
      <w:r>
        <w:rPr>
          <w:rFonts w:eastAsia="方正仿宋_GBK" w:hint="eastAsia"/>
          <w:sz w:val="28"/>
          <w:szCs w:val="28"/>
        </w:rPr>
        <w:t>若评审小组认为供应商有必要对响应文件进行补充或澄清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eastAsia="方正仿宋_GBK" w:hint="eastAsia"/>
          <w:color w:val="000000"/>
          <w:sz w:val="28"/>
          <w:szCs w:val="28"/>
        </w:rPr>
        <w:t>属于报价无效情形的，不予澄清。</w:t>
      </w:r>
    </w:p>
    <w:p>
      <w:pPr>
        <w:pStyle w:val="33"/>
        <w:snapToGrid w:val="0"/>
        <w:spacing w:line="480" w:lineRule="exact"/>
        <w:ind w:firstLineChars="196" w:firstLine="549"/>
        <w:jc w:val="left"/>
        <w:rPr>
          <w:rFonts w:ascii="仿宋_GB2312" w:eastAsia="仿宋_GB2312" w:cs="Courier New"/>
          <w:b/>
          <w:color w:val="000000"/>
          <w:sz w:val="28"/>
          <w:szCs w:val="28"/>
        </w:rPr>
      </w:pPr>
      <w:r>
        <w:rPr>
          <w:rFonts w:ascii="仿宋_GB2312" w:eastAsia="仿宋_GB2312" w:cs="Courier New" w:hint="eastAsia"/>
          <w:b/>
          <w:color w:val="000000"/>
          <w:sz w:val="28"/>
          <w:szCs w:val="28"/>
        </w:rPr>
        <w:t>（一）评审方法</w:t>
      </w:r>
    </w:p>
    <w:p>
      <w:pPr>
        <w:pStyle w:val="33"/>
        <w:snapToGrid w:val="0"/>
        <w:spacing w:line="480" w:lineRule="exact"/>
        <w:ind w:firstLineChars="200" w:firstLine="560"/>
        <w:jc w:val="left"/>
        <w:rPr>
          <w:rFonts w:eastAsia="方正仿宋_GBK" w:cs="Courier New" w:hint="eastAsia"/>
          <w:bCs/>
          <w:sz w:val="28"/>
        </w:rPr>
      </w:pPr>
      <w:r>
        <w:rPr>
          <w:rFonts w:eastAsia="方正仿宋_GBK" w:cs="Courier New" w:hint="eastAsia"/>
          <w:bCs/>
          <w:sz w:val="28"/>
        </w:rPr>
        <w:t>1.对进入详评的，采用百分制综合评分法。</w:t>
      </w:r>
    </w:p>
    <w:p>
      <w:pPr>
        <w:pStyle w:val="33"/>
        <w:snapToGrid w:val="0"/>
        <w:spacing w:line="480" w:lineRule="exact"/>
        <w:ind w:firstLineChars="200" w:firstLine="560"/>
        <w:jc w:val="left"/>
        <w:rPr>
          <w:rFonts w:eastAsia="方正仿宋_GBK" w:cs="Courier New" w:hint="eastAsia"/>
          <w:bCs/>
          <w:sz w:val="28"/>
        </w:rPr>
      </w:pPr>
      <w:r>
        <w:rPr>
          <w:rFonts w:eastAsia="方正仿宋_GBK" w:cs="Courier New" w:hint="eastAsia"/>
          <w:bCs/>
          <w:sz w:val="28"/>
        </w:rPr>
        <w:t>2.计分办法（按四舍五入取至小数点后两位）。</w:t>
      </w:r>
    </w:p>
    <w:p>
      <w:pPr>
        <w:pStyle w:val="33"/>
        <w:spacing w:line="480" w:lineRule="exact"/>
        <w:ind w:firstLineChars="200" w:firstLine="560"/>
        <w:rPr>
          <w:rFonts w:ascii="仿宋_GB2312" w:eastAsia="仿宋_GB2312" w:cs="Courier New"/>
          <w:b/>
          <w:sz w:val="28"/>
          <w:szCs w:val="28"/>
        </w:rPr>
      </w:pPr>
      <w:r>
        <w:rPr>
          <w:rFonts w:ascii="仿宋_GB2312" w:eastAsia="仿宋_GB2312" w:cs="Courier New" w:hint="eastAsia"/>
          <w:b/>
          <w:sz w:val="28"/>
          <w:szCs w:val="28"/>
        </w:rPr>
        <w:t>（二）评分标准</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26"/>
        <w:gridCol w:w="951"/>
        <w:gridCol w:w="426"/>
        <w:gridCol w:w="8051"/>
      </w:tblGrid>
      <w:tr>
        <w:tc>
          <w:tcPr>
            <w:tcW w:w="426" w:type="dxa"/>
            <w:vAlign w:val="center"/>
          </w:tcPr>
          <w:p>
            <w:pPr>
              <w:pStyle w:val="34"/>
              <w:autoSpaceDN w:val="0"/>
              <w:jc w:val="center"/>
              <w:rPr>
                <w:rFonts w:ascii="宋体" w:hint="eastAsia"/>
                <w:szCs w:val="21"/>
              </w:rPr>
            </w:pPr>
            <w:r>
              <w:rPr>
                <w:rFonts w:ascii="宋体" w:hint="eastAsia"/>
                <w:szCs w:val="21"/>
              </w:rPr>
              <w:t>序号</w:t>
            </w:r>
          </w:p>
        </w:tc>
        <w:tc>
          <w:tcPr>
            <w:tcW w:w="951" w:type="dxa"/>
            <w:vAlign w:val="center"/>
          </w:tcPr>
          <w:p>
            <w:pPr>
              <w:pStyle w:val="35"/>
              <w:autoSpaceDN w:val="0"/>
              <w:jc w:val="center"/>
              <w:rPr>
                <w:rFonts w:ascii="宋体" w:hint="eastAsia"/>
                <w:szCs w:val="21"/>
              </w:rPr>
            </w:pPr>
            <w:r>
              <w:rPr>
                <w:rFonts w:ascii="宋体" w:hint="eastAsia"/>
                <w:szCs w:val="21"/>
              </w:rPr>
              <w:t>评分因素及权重</w:t>
            </w:r>
          </w:p>
        </w:tc>
        <w:tc>
          <w:tcPr>
            <w:tcW w:w="426" w:type="dxa"/>
            <w:vAlign w:val="center"/>
          </w:tcPr>
          <w:p>
            <w:pPr>
              <w:pStyle w:val="36"/>
              <w:autoSpaceDN w:val="0"/>
              <w:jc w:val="center"/>
              <w:rPr>
                <w:rFonts w:ascii="宋体" w:hint="eastAsia"/>
                <w:szCs w:val="21"/>
              </w:rPr>
            </w:pPr>
            <w:r>
              <w:rPr>
                <w:rFonts w:ascii="宋体" w:hint="eastAsia"/>
                <w:szCs w:val="21"/>
              </w:rPr>
              <w:t>分值</w:t>
            </w:r>
          </w:p>
        </w:tc>
        <w:tc>
          <w:tcPr>
            <w:tcW w:w="8051" w:type="dxa"/>
            <w:vAlign w:val="center"/>
          </w:tcPr>
          <w:p>
            <w:pPr>
              <w:pStyle w:val="37"/>
              <w:autoSpaceDN w:val="0"/>
              <w:jc w:val="center"/>
              <w:rPr>
                <w:rFonts w:ascii="宋体" w:hint="eastAsia"/>
                <w:szCs w:val="21"/>
              </w:rPr>
            </w:pPr>
            <w:r>
              <w:rPr>
                <w:rFonts w:ascii="宋体" w:hint="eastAsia"/>
                <w:szCs w:val="21"/>
              </w:rPr>
              <w:t>评分标准</w:t>
            </w:r>
          </w:p>
        </w:tc>
      </w:tr>
      <w:tr>
        <w:tc>
          <w:tcPr>
            <w:tcW w:w="426" w:type="dxa"/>
            <w:vAlign w:val="center"/>
          </w:tcPr>
          <w:p>
            <w:pPr>
              <w:pStyle w:val="38"/>
              <w:autoSpaceDN w:val="0"/>
              <w:jc w:val="center"/>
              <w:rPr>
                <w:rFonts w:ascii="宋体" w:hint="eastAsia"/>
                <w:szCs w:val="21"/>
              </w:rPr>
            </w:pPr>
            <w:r>
              <w:rPr>
                <w:rFonts w:ascii="宋体" w:hint="eastAsia"/>
                <w:szCs w:val="21"/>
              </w:rPr>
              <w:t>1</w:t>
            </w:r>
          </w:p>
        </w:tc>
        <w:tc>
          <w:tcPr>
            <w:tcW w:w="951" w:type="dxa"/>
            <w:vAlign w:val="center"/>
          </w:tcPr>
          <w:p>
            <w:pPr>
              <w:pStyle w:val="39"/>
              <w:autoSpaceDN w:val="0"/>
              <w:jc w:val="left"/>
              <w:rPr>
                <w:rFonts w:ascii="宋体" w:hint="eastAsia"/>
                <w:szCs w:val="21"/>
              </w:rPr>
            </w:pPr>
            <w:r>
              <w:rPr>
                <w:rFonts w:ascii="宋体" w:hint="eastAsia"/>
                <w:szCs w:val="21"/>
              </w:rPr>
              <w:t>报价部分</w:t>
            </w:r>
          </w:p>
          <w:p>
            <w:pPr>
              <w:pStyle w:val="39"/>
              <w:autoSpaceDN w:val="0"/>
              <w:jc w:val="left"/>
              <w:rPr>
                <w:rFonts w:ascii="宋体" w:hint="eastAsia"/>
                <w:szCs w:val="21"/>
              </w:rPr>
            </w:pPr>
            <w:r>
              <w:rPr>
                <w:rFonts w:ascii="宋体" w:hint="eastAsia"/>
                <w:szCs w:val="21"/>
              </w:rPr>
              <w:t>（</w:t>
            </w:r>
            <w:r>
              <w:rPr>
                <w:rFonts w:ascii="宋体"/>
                <w:szCs w:val="21"/>
              </w:rPr>
              <w:t>20</w:t>
            </w:r>
            <w:r>
              <w:rPr>
                <w:rFonts w:ascii="宋体" w:hint="eastAsia"/>
                <w:szCs w:val="21"/>
              </w:rPr>
              <w:t>%）</w:t>
            </w:r>
          </w:p>
        </w:tc>
        <w:tc>
          <w:tcPr>
            <w:tcW w:w="426" w:type="dxa"/>
            <w:vAlign w:val="center"/>
          </w:tcPr>
          <w:p>
            <w:pPr>
              <w:pStyle w:val="40"/>
              <w:autoSpaceDN w:val="0"/>
              <w:jc w:val="center"/>
              <w:rPr>
                <w:rFonts w:ascii="宋体" w:hint="eastAsia"/>
                <w:szCs w:val="21"/>
              </w:rPr>
            </w:pPr>
            <w:r>
              <w:rPr>
                <w:rFonts w:ascii="宋体"/>
                <w:szCs w:val="21"/>
              </w:rPr>
              <w:t>20</w:t>
            </w:r>
            <w:r>
              <w:rPr>
                <w:rFonts w:ascii="宋体" w:hint="eastAsia"/>
                <w:szCs w:val="21"/>
              </w:rPr>
              <w:t>分</w:t>
            </w:r>
          </w:p>
        </w:tc>
        <w:tc>
          <w:tcPr>
            <w:tcW w:w="8051" w:type="dxa"/>
            <w:vAlign w:val="center"/>
          </w:tcPr>
          <w:p>
            <w:pPr>
              <w:pStyle w:val="41"/>
              <w:autoSpaceDN w:val="0"/>
              <w:rPr>
                <w:rFonts w:ascii="宋体" w:hint="eastAsia"/>
                <w:szCs w:val="21"/>
              </w:rPr>
            </w:pPr>
            <w:r>
              <w:rPr>
                <w:rFonts w:ascii="宋体" w:hint="eastAsia"/>
                <w:szCs w:val="21"/>
              </w:rPr>
              <w:t>（1）确定评标基准价：</w:t>
            </w:r>
          </w:p>
          <w:p>
            <w:pPr>
              <w:pStyle w:val="41"/>
              <w:autoSpaceDN w:val="0"/>
              <w:rPr>
                <w:rFonts w:ascii="宋体" w:hint="eastAsia"/>
                <w:szCs w:val="21"/>
              </w:rPr>
            </w:pPr>
            <w:r>
              <w:rPr>
                <w:rFonts w:ascii="宋体" w:hint="eastAsia"/>
                <w:szCs w:val="21"/>
              </w:rPr>
              <w:t>评标基准价：所有初步评审合格的供应商的最低最终报价。</w:t>
            </w:r>
          </w:p>
          <w:p>
            <w:pPr>
              <w:pStyle w:val="41"/>
              <w:autoSpaceDN w:val="0"/>
              <w:rPr>
                <w:rFonts w:ascii="宋体" w:hint="eastAsia"/>
                <w:szCs w:val="21"/>
              </w:rPr>
            </w:pPr>
            <w:r>
              <w:rPr>
                <w:rFonts w:ascii="宋体" w:hint="eastAsia"/>
                <w:szCs w:val="21"/>
              </w:rPr>
              <w:t>（2）分值计算：</w:t>
            </w:r>
          </w:p>
          <w:p>
            <w:pPr>
              <w:pStyle w:val="41"/>
              <w:autoSpaceDN w:val="0"/>
              <w:rPr>
                <w:rFonts w:ascii="宋体" w:hint="eastAsia"/>
                <w:szCs w:val="21"/>
              </w:rPr>
            </w:pPr>
            <w:r>
              <w:rPr>
                <w:rFonts w:ascii="宋体" w:hint="eastAsia"/>
                <w:szCs w:val="21"/>
              </w:rPr>
              <w:t>按照下列公式计算每个供应商的投标价格得分：</w:t>
            </w:r>
          </w:p>
          <w:p>
            <w:pPr>
              <w:pStyle w:val="41"/>
              <w:autoSpaceDN w:val="0"/>
              <w:spacing w:line="320" w:lineRule="exact"/>
              <w:rPr>
                <w:rFonts w:ascii="宋体" w:cs="宋体" w:hint="eastAsia"/>
                <w:szCs w:val="21"/>
                <w:lang w:bidi="ar-SA"/>
              </w:rPr>
            </w:pPr>
            <w:r>
              <w:rPr>
                <w:rFonts w:ascii="宋体" w:hint="eastAsia"/>
                <w:szCs w:val="21"/>
              </w:rPr>
              <w:t>投报价得分＝（评标基准价/最终报价）×价格权重×100。</w:t>
            </w:r>
          </w:p>
        </w:tc>
      </w:tr>
      <w:tr>
        <w:tc>
          <w:tcPr>
            <w:tcW w:w="426" w:type="dxa"/>
            <w:vAlign w:val="center"/>
          </w:tcPr>
          <w:p>
            <w:pPr>
              <w:pStyle w:val="42"/>
              <w:autoSpaceDN w:val="0"/>
              <w:jc w:val="center"/>
              <w:rPr>
                <w:rFonts w:ascii="宋体" w:hint="eastAsia"/>
                <w:szCs w:val="21"/>
              </w:rPr>
            </w:pPr>
            <w:r>
              <w:rPr>
                <w:rFonts w:ascii="宋体" w:hint="eastAsia"/>
                <w:szCs w:val="21"/>
              </w:rPr>
              <w:t>2</w:t>
            </w:r>
          </w:p>
        </w:tc>
        <w:tc>
          <w:tcPr>
            <w:tcW w:w="951" w:type="dxa"/>
            <w:vAlign w:val="center"/>
          </w:tcPr>
          <w:p>
            <w:pPr>
              <w:pStyle w:val="43"/>
              <w:autoSpaceDN w:val="0"/>
              <w:jc w:val="left"/>
              <w:rPr>
                <w:rFonts w:ascii="宋体" w:hint="eastAsia"/>
                <w:szCs w:val="21"/>
              </w:rPr>
            </w:pPr>
            <w:r>
              <w:rPr>
                <w:rFonts w:ascii="宋体" w:hint="eastAsia"/>
                <w:szCs w:val="21"/>
              </w:rPr>
              <w:t>技术部分</w:t>
            </w:r>
          </w:p>
          <w:p>
            <w:pPr>
              <w:pStyle w:val="43"/>
              <w:autoSpaceDN w:val="0"/>
              <w:jc w:val="left"/>
              <w:rPr>
                <w:rFonts w:ascii="宋体" w:hint="eastAsia"/>
                <w:szCs w:val="21"/>
              </w:rPr>
            </w:pPr>
            <w:r>
              <w:rPr>
                <w:rFonts w:ascii="宋体" w:hint="eastAsia"/>
                <w:szCs w:val="21"/>
              </w:rPr>
              <w:t>（</w:t>
            </w:r>
            <w:r>
              <w:rPr>
                <w:rFonts w:ascii="宋体"/>
                <w:szCs w:val="21"/>
                <w:lang w:val="en-US" w:eastAsia="zh-CN"/>
              </w:rPr>
              <w:t>2</w:t>
            </w:r>
            <w:r>
              <w:rPr>
                <w:rFonts w:ascii="宋体" w:hint="eastAsia"/>
                <w:szCs w:val="21"/>
              </w:rPr>
              <w:t>0%）</w:t>
            </w:r>
          </w:p>
        </w:tc>
        <w:tc>
          <w:tcPr>
            <w:tcW w:w="426" w:type="dxa"/>
            <w:vAlign w:val="center"/>
          </w:tcPr>
          <w:p>
            <w:pPr>
              <w:pStyle w:val="44"/>
              <w:autoSpaceDN w:val="0"/>
              <w:adjustRightInd w:val="0"/>
              <w:snapToGrid w:val="0"/>
              <w:jc w:val="center"/>
              <w:rPr>
                <w:rFonts w:ascii="宋体" w:hint="eastAsia"/>
                <w:szCs w:val="21"/>
              </w:rPr>
            </w:pPr>
            <w:r>
              <w:rPr>
                <w:rFonts w:ascii="宋体"/>
                <w:szCs w:val="21"/>
                <w:lang w:val="en-US" w:eastAsia="zh-CN"/>
              </w:rPr>
              <w:t>2</w:t>
            </w:r>
            <w:r>
              <w:rPr>
                <w:rFonts w:ascii="宋体" w:hint="eastAsia"/>
                <w:szCs w:val="21"/>
              </w:rPr>
              <w:t>0分</w:t>
            </w:r>
          </w:p>
        </w:tc>
        <w:tc>
          <w:tcPr>
            <w:tcW w:w="8051" w:type="dxa"/>
            <w:vAlign w:val="center"/>
          </w:tcPr>
          <w:p>
            <w:pPr>
              <w:pStyle w:val="45"/>
              <w:autoSpaceDN w:val="0"/>
              <w:adjustRightInd w:val="0"/>
              <w:snapToGrid w:val="0"/>
              <w:rPr>
                <w:rFonts w:ascii="宋体" w:hint="eastAsia"/>
                <w:bCs/>
                <w:szCs w:val="21"/>
              </w:rPr>
            </w:pPr>
            <w:r>
              <w:rPr>
                <w:rFonts w:ascii="宋体" w:hint="eastAsia"/>
                <w:bCs/>
                <w:szCs w:val="21"/>
              </w:rPr>
              <w:t>一档（</w:t>
            </w:r>
            <w:r>
              <w:rPr>
                <w:rFonts w:ascii="宋体"/>
                <w:bCs/>
                <w:szCs w:val="21"/>
              </w:rPr>
              <w:t>10</w:t>
            </w:r>
            <w:r>
              <w:rPr>
                <w:rFonts w:ascii="宋体" w:hint="eastAsia"/>
                <w:bCs/>
                <w:szCs w:val="21"/>
              </w:rPr>
              <w:t>分）：技术方案能满足采购文件对前后端开发、测试上线和运维保障的要求，提供清晰的系统开发与数据接入总体思路，方案基本可行。</w:t>
            </w:r>
          </w:p>
          <w:p>
            <w:pPr>
              <w:pStyle w:val="45"/>
              <w:autoSpaceDN w:val="0"/>
              <w:adjustRightInd w:val="0"/>
              <w:snapToGrid w:val="0"/>
              <w:rPr>
                <w:rFonts w:ascii="宋体" w:hint="eastAsia"/>
                <w:bCs/>
                <w:szCs w:val="21"/>
              </w:rPr>
            </w:pPr>
            <w:r>
              <w:rPr>
                <w:rFonts w:ascii="宋体" w:hint="eastAsia"/>
                <w:bCs/>
                <w:szCs w:val="21"/>
              </w:rPr>
              <w:t>二档（</w:t>
            </w:r>
            <w:r>
              <w:rPr>
                <w:rFonts w:ascii="宋体"/>
                <w:bCs/>
                <w:szCs w:val="21"/>
              </w:rPr>
              <w:t>15</w:t>
            </w:r>
            <w:r>
              <w:rPr>
                <w:rFonts w:ascii="宋体" w:hint="eastAsia"/>
                <w:bCs/>
                <w:szCs w:val="21"/>
              </w:rPr>
              <w:t>分）：在一档基础上，进一步说明前后端架构设计、开发流程、数据处理方法及运维支持方式，包含故障响应、性能优化等内容，能较好地满足采购方对系统稳定性与开发效率的需求。</w:t>
            </w:r>
          </w:p>
          <w:p>
            <w:pPr>
              <w:pStyle w:val="45"/>
              <w:autoSpaceDN w:val="0"/>
              <w:adjustRightInd w:val="0"/>
              <w:snapToGrid w:val="0"/>
              <w:rPr>
                <w:rFonts w:ascii="宋体" w:hint="eastAsia"/>
                <w:szCs w:val="21"/>
              </w:rPr>
            </w:pPr>
            <w:r>
              <w:rPr>
                <w:rFonts w:ascii="宋体" w:hint="eastAsia"/>
                <w:bCs/>
                <w:szCs w:val="21"/>
              </w:rPr>
              <w:t>三档（20分）：在二档基础上，提供更完整的功能设计与模块说明，明确数据在系统中的流转和衔接方式，并提出安全加固、故障排查、数据保密等体系化措施。方案可执行性强，技术路线成熟，能够充分满足采购方的个性化开发需求。</w:t>
            </w:r>
          </w:p>
        </w:tc>
      </w:tr>
      <w:tr>
        <w:tc>
          <w:tcPr>
            <w:tcW w:w="426" w:type="dxa"/>
            <w:vAlign w:val="center"/>
          </w:tcPr>
          <w:p>
            <w:pPr>
              <w:pStyle w:val="46"/>
              <w:autoSpaceDN w:val="0"/>
              <w:jc w:val="center"/>
              <w:rPr>
                <w:rFonts w:ascii="宋体" w:hint="eastAsia"/>
                <w:szCs w:val="21"/>
              </w:rPr>
            </w:pPr>
            <w:r>
              <w:rPr>
                <w:rFonts w:ascii="宋体" w:hint="eastAsia"/>
                <w:szCs w:val="21"/>
              </w:rPr>
              <w:t>3</w:t>
            </w:r>
          </w:p>
        </w:tc>
        <w:tc>
          <w:tcPr>
            <w:tcW w:w="951" w:type="dxa"/>
            <w:vAlign w:val="center"/>
          </w:tcPr>
          <w:p>
            <w:pPr>
              <w:pStyle w:val="47"/>
              <w:autoSpaceDN w:val="0"/>
              <w:jc w:val="left"/>
              <w:rPr>
                <w:rFonts w:ascii="宋体" w:hint="eastAsia"/>
                <w:szCs w:val="21"/>
              </w:rPr>
            </w:pPr>
            <w:r>
              <w:rPr>
                <w:rFonts w:ascii="宋体" w:hint="eastAsia"/>
                <w:szCs w:val="21"/>
              </w:rPr>
              <w:t>运维服务方案部分</w:t>
            </w:r>
          </w:p>
          <w:p>
            <w:pPr>
              <w:pStyle w:val="47"/>
              <w:autoSpaceDN w:val="0"/>
              <w:jc w:val="left"/>
              <w:rPr>
                <w:rFonts w:ascii="宋体" w:hint="eastAsia"/>
                <w:szCs w:val="21"/>
              </w:rPr>
            </w:pPr>
            <w:r>
              <w:rPr>
                <w:rFonts w:ascii="宋体" w:hint="eastAsia"/>
                <w:szCs w:val="21"/>
              </w:rPr>
              <w:t>（20%）</w:t>
            </w:r>
          </w:p>
        </w:tc>
        <w:tc>
          <w:tcPr>
            <w:tcW w:w="426" w:type="dxa"/>
            <w:vAlign w:val="center"/>
          </w:tcPr>
          <w:p>
            <w:pPr>
              <w:pStyle w:val="48"/>
              <w:autoSpaceDN w:val="0"/>
              <w:adjustRightInd w:val="0"/>
              <w:snapToGrid w:val="0"/>
              <w:jc w:val="center"/>
              <w:rPr>
                <w:rFonts w:ascii="宋体" w:hint="eastAsia"/>
                <w:szCs w:val="21"/>
              </w:rPr>
            </w:pPr>
            <w:r>
              <w:rPr>
                <w:rFonts w:ascii="宋体" w:hint="eastAsia"/>
                <w:szCs w:val="21"/>
              </w:rPr>
              <w:t>20分</w:t>
            </w:r>
          </w:p>
        </w:tc>
        <w:tc>
          <w:tcPr>
            <w:tcW w:w="8051" w:type="dxa"/>
            <w:vAlign w:val="center"/>
          </w:tcPr>
          <w:p>
            <w:pPr>
              <w:pStyle w:val="49"/>
              <w:autoSpaceDN w:val="0"/>
              <w:adjustRightInd w:val="0"/>
              <w:snapToGrid w:val="0"/>
              <w:rPr>
                <w:rFonts w:ascii="宋体" w:hint="eastAsia"/>
                <w:bCs/>
                <w:szCs w:val="21"/>
              </w:rPr>
            </w:pPr>
            <w:r>
              <w:rPr>
                <w:rFonts w:ascii="宋体" w:hint="eastAsia"/>
                <w:bCs/>
                <w:szCs w:val="21"/>
              </w:rPr>
              <w:t>一档（</w:t>
            </w:r>
            <w:r>
              <w:rPr>
                <w:rFonts w:ascii="宋体"/>
                <w:bCs/>
                <w:szCs w:val="21"/>
              </w:rPr>
              <w:t>10</w:t>
            </w:r>
            <w:r>
              <w:rPr>
                <w:rFonts w:ascii="宋体" w:hint="eastAsia"/>
                <w:bCs/>
                <w:szCs w:val="21"/>
              </w:rPr>
              <w:t>分）：提供的运维服务方案基本满足采购文件要求，内容包括日常技术支持计划、故障排查与修复流程、运维人员安排及分工、基础维护计划等，能够支撑项目基本运维需求。</w:t>
            </w:r>
          </w:p>
          <w:p>
            <w:pPr>
              <w:pStyle w:val="49"/>
              <w:autoSpaceDN w:val="0"/>
              <w:adjustRightInd w:val="0"/>
              <w:snapToGrid w:val="0"/>
              <w:rPr>
                <w:rFonts w:ascii="宋体" w:hint="eastAsia"/>
                <w:bCs/>
                <w:szCs w:val="21"/>
              </w:rPr>
            </w:pPr>
            <w:r>
              <w:rPr>
                <w:rFonts w:ascii="宋体" w:hint="eastAsia"/>
                <w:bCs/>
                <w:szCs w:val="21"/>
              </w:rPr>
              <w:t>二档（1</w:t>
            </w:r>
            <w:r>
              <w:rPr>
                <w:rFonts w:ascii="宋体"/>
                <w:bCs/>
                <w:szCs w:val="21"/>
              </w:rPr>
              <w:t>5</w:t>
            </w:r>
            <w:r>
              <w:rPr>
                <w:rFonts w:ascii="宋体" w:hint="eastAsia"/>
                <w:bCs/>
                <w:szCs w:val="21"/>
              </w:rPr>
              <w:t>分）：优于一档，内容还应包括项目管理、服务周期规划、人员配置及分工、组织管理方式、系统巡检计划、安全加固措施、培训安排、维护计划、性能优化等，对系统整体运行情况有全面认识，表达清晰、描述完整。</w:t>
            </w:r>
          </w:p>
          <w:p>
            <w:pPr>
              <w:pStyle w:val="49"/>
              <w:autoSpaceDN w:val="0"/>
              <w:adjustRightInd w:val="0"/>
              <w:snapToGrid w:val="0"/>
              <w:rPr>
                <w:rFonts w:ascii="宋体" w:hint="eastAsia"/>
                <w:bCs/>
                <w:szCs w:val="21"/>
              </w:rPr>
            </w:pPr>
            <w:r>
              <w:rPr>
                <w:rFonts w:ascii="宋体" w:hint="eastAsia"/>
                <w:bCs/>
                <w:szCs w:val="21"/>
              </w:rPr>
              <w:t>三档（20分）：优于二档，提供的运维服务方案全面满足采购文件要求。内容除项目管理、服务周期规划、人员安排、组织管理、系统巡检方案、培训计划、维护计划、安全加固策略、性能优化、系统优化升级等详细内容外，还包含但不限于服务要求和服务质量把控等，并且运维方案详细、先进，对关键技术点描述清晰、到位。拟投入的运维人员和技术支持人员均获得人社部门颁发的计算机类中级或中级以上职称证书。</w:t>
            </w:r>
          </w:p>
        </w:tc>
      </w:tr>
      <w:tr>
        <w:tc>
          <w:tcPr>
            <w:tcW w:w="426" w:type="dxa"/>
            <w:vAlign w:val="center"/>
          </w:tcPr>
          <w:p>
            <w:pPr>
              <w:pStyle w:val="50"/>
              <w:autoSpaceDN w:val="0"/>
              <w:rPr>
                <w:rFonts w:ascii="宋体" w:hint="eastAsia"/>
                <w:szCs w:val="21"/>
              </w:rPr>
            </w:pPr>
            <w:r>
              <w:rPr>
                <w:rFonts w:ascii="宋体" w:hint="eastAsia"/>
                <w:szCs w:val="21"/>
              </w:rPr>
              <w:t>4</w:t>
            </w:r>
          </w:p>
        </w:tc>
        <w:tc>
          <w:tcPr>
            <w:tcW w:w="951" w:type="dxa"/>
            <w:vAlign w:val="center"/>
          </w:tcPr>
          <w:p>
            <w:pPr>
              <w:pStyle w:val="51"/>
              <w:autoSpaceDN w:val="0"/>
              <w:rPr>
                <w:rFonts w:ascii="宋体" w:hint="eastAsia"/>
                <w:szCs w:val="21"/>
              </w:rPr>
            </w:pPr>
            <w:r>
              <w:rPr>
                <w:rFonts w:ascii="宋体" w:hint="eastAsia"/>
                <w:szCs w:val="21"/>
              </w:rPr>
              <w:t>故障响应方案部分</w:t>
            </w:r>
          </w:p>
          <w:p>
            <w:pPr>
              <w:pStyle w:val="51"/>
              <w:autoSpaceDN w:val="0"/>
              <w:rPr>
                <w:rFonts w:ascii="宋体" w:hint="eastAsia"/>
                <w:szCs w:val="21"/>
              </w:rPr>
            </w:pPr>
            <w:r>
              <w:rPr>
                <w:rFonts w:ascii="宋体" w:hint="eastAsia"/>
                <w:szCs w:val="21"/>
              </w:rPr>
              <w:t>（</w:t>
            </w:r>
            <w:r>
              <w:rPr>
                <w:rFonts w:ascii="宋体"/>
                <w:szCs w:val="21"/>
                <w:lang w:val="en-US" w:eastAsia="zh-CN"/>
              </w:rPr>
              <w:t>2</w:t>
            </w:r>
            <w:r>
              <w:rPr>
                <w:rFonts w:ascii="宋体" w:hint="eastAsia"/>
                <w:szCs w:val="21"/>
              </w:rPr>
              <w:t>0%）</w:t>
            </w:r>
          </w:p>
        </w:tc>
        <w:tc>
          <w:tcPr>
            <w:tcW w:w="426" w:type="dxa"/>
            <w:vAlign w:val="center"/>
          </w:tcPr>
          <w:p>
            <w:pPr>
              <w:pStyle w:val="52"/>
              <w:autoSpaceDN w:val="0"/>
              <w:adjustRightInd w:val="0"/>
              <w:snapToGrid w:val="0"/>
              <w:rPr>
                <w:rFonts w:ascii="宋体" w:hint="eastAsia"/>
                <w:szCs w:val="21"/>
              </w:rPr>
            </w:pPr>
            <w:r>
              <w:rPr>
                <w:rFonts w:ascii="宋体"/>
                <w:szCs w:val="21"/>
                <w:lang w:val="en-US" w:eastAsia="zh-CN"/>
              </w:rPr>
              <w:t>20</w:t>
            </w:r>
            <w:r>
              <w:rPr>
                <w:rFonts w:ascii="宋体" w:hint="eastAsia"/>
                <w:szCs w:val="21"/>
              </w:rPr>
              <w:t>分</w:t>
            </w:r>
          </w:p>
        </w:tc>
        <w:tc>
          <w:tcPr>
            <w:tcW w:w="8051" w:type="dxa"/>
            <w:vAlign w:val="center"/>
          </w:tcPr>
          <w:p>
            <w:pPr>
              <w:pStyle w:val="53"/>
              <w:autoSpaceDN w:val="0"/>
              <w:adjustRightInd w:val="0"/>
              <w:snapToGrid w:val="0"/>
              <w:rPr>
                <w:rFonts w:ascii="宋体" w:hint="eastAsia"/>
                <w:bCs/>
                <w:szCs w:val="21"/>
              </w:rPr>
            </w:pPr>
            <w:r>
              <w:rPr>
                <w:rFonts w:ascii="宋体" w:hint="eastAsia"/>
                <w:bCs/>
                <w:szCs w:val="21"/>
              </w:rPr>
              <w:t>一档（</w:t>
            </w:r>
            <w:r>
              <w:rPr>
                <w:rFonts w:ascii="宋体"/>
                <w:bCs/>
                <w:szCs w:val="21"/>
                <w:lang w:val="en-US" w:eastAsia="zh-CN"/>
              </w:rPr>
              <w:t>10</w:t>
            </w:r>
            <w:r>
              <w:rPr>
                <w:rFonts w:ascii="宋体" w:hint="eastAsia"/>
                <w:bCs/>
                <w:szCs w:val="21"/>
              </w:rPr>
              <w:t>分）：故障响应及处置方案内容简单，售后服务内容符合项目需求，简单的故障解决方案、定期回访，故障申报响应时间不超过2小时，4小时内到达维修现场，一般问题应在12小时内解决，重大问题或其它无法迅速解决的问题应在72小时内解决；</w:t>
            </w:r>
          </w:p>
          <w:p>
            <w:pPr>
              <w:pStyle w:val="53"/>
              <w:autoSpaceDN w:val="0"/>
              <w:adjustRightInd w:val="0"/>
              <w:snapToGrid w:val="0"/>
              <w:rPr>
                <w:rFonts w:ascii="宋体" w:hint="eastAsia"/>
                <w:bCs/>
                <w:szCs w:val="21"/>
              </w:rPr>
            </w:pPr>
            <w:r>
              <w:rPr>
                <w:rFonts w:ascii="宋体" w:hint="eastAsia"/>
                <w:bCs/>
                <w:szCs w:val="21"/>
              </w:rPr>
              <w:t>二档（</w:t>
            </w:r>
            <w:r>
              <w:rPr>
                <w:rFonts w:ascii="宋体"/>
                <w:bCs/>
                <w:szCs w:val="21"/>
                <w:lang w:val="en-US" w:eastAsia="zh-CN"/>
              </w:rPr>
              <w:t>15</w:t>
            </w:r>
            <w:r>
              <w:rPr>
                <w:rFonts w:ascii="宋体" w:hint="eastAsia"/>
                <w:bCs/>
                <w:szCs w:val="21"/>
              </w:rPr>
              <w:t>分）：故障响应及处置方案较具体、可行、合理，售后服务内容符合项目需求，有较详细的故障解决方案、定期回访、售后服务保障措施、服务方式便捷、多样化；故障申报响应时间不超过1小时内，2小时内到达维修现场，一般问题应在8小时内解决，重大问题或其它无法迅速解决的问题应在48小时内解决；</w:t>
            </w:r>
          </w:p>
          <w:p>
            <w:pPr>
              <w:pStyle w:val="53"/>
              <w:autoSpaceDN w:val="0"/>
              <w:adjustRightInd w:val="0"/>
              <w:snapToGrid w:val="0"/>
              <w:rPr>
                <w:rFonts w:ascii="宋体" w:hint="eastAsia"/>
                <w:bCs/>
                <w:szCs w:val="21"/>
              </w:rPr>
            </w:pPr>
            <w:r>
              <w:rPr>
                <w:rFonts w:ascii="宋体" w:hint="eastAsia"/>
                <w:bCs/>
                <w:szCs w:val="21"/>
              </w:rPr>
              <w:t>三档（</w:t>
            </w:r>
            <w:r>
              <w:rPr>
                <w:rFonts w:ascii="宋体"/>
                <w:bCs/>
                <w:szCs w:val="21"/>
                <w:lang w:val="en-US" w:eastAsia="zh-CN"/>
              </w:rPr>
              <w:t>20</w:t>
            </w:r>
            <w:r>
              <w:rPr>
                <w:rFonts w:ascii="宋体" w:hint="eastAsia"/>
                <w:bCs/>
                <w:szCs w:val="21"/>
              </w:rPr>
              <w:t>分）：故障响应及处置方案具体、详细、具有合理性、可行性强；售后服务内容完全满足项目需求，有详细、可行的设备故障解决方案、定期回访、售后服务保障措施，服务方式便捷、多样化；人员安排合理，故障申报响应时间不超过10分钟，1小时内到达维修现场，一般问题应在2小时内解决，重大问题或其它无法迅速解决的问题应在24小时内解决。</w:t>
            </w:r>
          </w:p>
        </w:tc>
      </w:tr>
      <w:tr>
        <w:trPr>
          <w:trHeight w:val="2709"/>
        </w:trPr>
        <w:tc>
          <w:tcPr>
            <w:tcW w:w="426" w:type="dxa"/>
            <w:vMerge w:val="restart"/>
            <w:vAlign w:val="center"/>
          </w:tcPr>
          <w:p>
            <w:pPr>
              <w:pStyle w:val="70"/>
              <w:autoSpaceDN w:val="0"/>
              <w:rPr>
                <w:rFonts w:ascii="宋体" w:hint="eastAsia"/>
                <w:szCs w:val="21"/>
              </w:rPr>
            </w:pPr>
            <w:r>
              <w:rPr>
                <w:rFonts w:ascii="宋体" w:hint="eastAsia"/>
                <w:szCs w:val="21"/>
              </w:rPr>
              <w:t>5</w:t>
            </w:r>
          </w:p>
        </w:tc>
        <w:tc>
          <w:tcPr>
            <w:tcW w:w="951" w:type="dxa"/>
            <w:vMerge w:val="restart"/>
            <w:vAlign w:val="center"/>
          </w:tcPr>
          <w:p>
            <w:pPr>
              <w:pStyle w:val="69"/>
              <w:autoSpaceDN w:val="0"/>
              <w:rPr>
                <w:rFonts w:ascii="宋体" w:hint="eastAsia"/>
                <w:szCs w:val="21"/>
                <w:lang w:val="en-US" w:eastAsia="zh-CN"/>
              </w:rPr>
            </w:pPr>
            <w:r>
              <w:rPr>
                <w:rFonts w:ascii="宋体" w:hint="eastAsia"/>
                <w:szCs w:val="21"/>
                <w:lang w:val="en-US" w:eastAsia="zh-CN"/>
              </w:rPr>
              <w:t>企业综合实力</w:t>
            </w:r>
          </w:p>
          <w:p>
            <w:pPr>
              <w:pStyle w:val="69"/>
              <w:autoSpaceDN w:val="0"/>
              <w:rPr>
                <w:rFonts w:ascii="宋体" w:hint="eastAsia"/>
                <w:szCs w:val="21"/>
              </w:rPr>
            </w:pPr>
            <w:r>
              <w:rPr>
                <w:rFonts w:ascii="宋体" w:hint="eastAsia"/>
                <w:szCs w:val="21"/>
              </w:rPr>
              <w:t>（</w:t>
            </w:r>
            <w:r>
              <w:rPr>
                <w:rFonts w:ascii="宋体"/>
                <w:szCs w:val="21"/>
                <w:lang w:val="en-US" w:eastAsia="zh-CN"/>
              </w:rPr>
              <w:t>20</w:t>
            </w:r>
            <w:r>
              <w:rPr>
                <w:rFonts w:ascii="宋体" w:hint="eastAsia"/>
                <w:szCs w:val="21"/>
              </w:rPr>
              <w:t>%）</w:t>
            </w:r>
          </w:p>
        </w:tc>
        <w:tc>
          <w:tcPr>
            <w:tcW w:w="426" w:type="dxa"/>
            <w:vAlign w:val="center"/>
          </w:tcPr>
          <w:p>
            <w:pPr>
              <w:pStyle w:val="59"/>
              <w:autoSpaceDN w:val="0"/>
              <w:adjustRightInd w:val="0"/>
              <w:snapToGrid w:val="0"/>
              <w:rPr>
                <w:rFonts w:ascii="宋体" w:eastAsia="宋体"/>
                <w:szCs w:val="21"/>
                <w:lang w:val="en-US" w:eastAsia="zh-CN"/>
              </w:rPr>
            </w:pPr>
            <w:r>
              <w:rPr>
                <w:rFonts w:ascii="宋体" w:hint="eastAsia"/>
                <w:szCs w:val="21"/>
                <w:lang w:val="en-US" w:eastAsia="zh-CN"/>
              </w:rPr>
              <w:t>企业资质</w:t>
            </w:r>
          </w:p>
          <w:p>
            <w:pPr>
              <w:pStyle w:val="59"/>
              <w:autoSpaceDN w:val="0"/>
              <w:adjustRightInd w:val="0"/>
              <w:snapToGrid w:val="0"/>
              <w:rPr>
                <w:rFonts w:ascii="宋体" w:hint="eastAsia"/>
                <w:szCs w:val="21"/>
              </w:rPr>
            </w:pPr>
            <w:r>
              <w:rPr>
                <w:rFonts w:ascii="宋体"/>
                <w:szCs w:val="21"/>
              </w:rPr>
              <w:t>5</w:t>
            </w:r>
            <w:r>
              <w:rPr>
                <w:rFonts w:ascii="宋体" w:hint="eastAsia"/>
                <w:szCs w:val="21"/>
              </w:rPr>
              <w:t>分</w:t>
            </w:r>
          </w:p>
        </w:tc>
        <w:tc>
          <w:tcPr>
            <w:tcW w:w="8051" w:type="dxa"/>
            <w:vAlign w:val="center"/>
          </w:tcPr>
          <w:p>
            <w:pPr>
              <w:pStyle w:val="60"/>
              <w:autoSpaceDN w:val="0"/>
              <w:adjustRightInd w:val="0"/>
              <w:snapToGrid w:val="0"/>
              <w:rPr>
                <w:rFonts w:ascii="宋体" w:hint="eastAsia"/>
                <w:bCs/>
                <w:szCs w:val="21"/>
              </w:rPr>
            </w:pPr>
            <w:r>
              <w:rPr>
                <w:rFonts w:ascii="宋体" w:hint="eastAsia"/>
                <w:bCs/>
                <w:szCs w:val="21"/>
              </w:rPr>
              <w:t>具</w:t>
            </w:r>
            <w:r>
              <w:rPr>
                <w:rFonts w:ascii="宋体" w:eastAsia="宋体" w:cs="Times New Roman" w:hint="eastAsia"/>
                <w:bCs/>
                <w:szCs w:val="21"/>
              </w:rPr>
              <w:t>有ISO9001系质量</w:t>
            </w:r>
            <w:r>
              <w:rPr>
                <w:rFonts w:ascii="宋体" w:eastAsia="宋体" w:cs="Times New Roman" w:hint="eastAsia"/>
                <w:bCs/>
                <w:szCs w:val="21"/>
                <w:lang w:val="en-US" w:eastAsia="zh-CN"/>
              </w:rPr>
              <w:t>管理</w:t>
            </w:r>
            <w:r>
              <w:rPr>
                <w:rFonts w:ascii="宋体" w:eastAsia="宋体" w:cs="Times New Roman" w:hint="eastAsia"/>
                <w:bCs/>
                <w:szCs w:val="21"/>
              </w:rPr>
              <w:t>体系认证</w:t>
            </w:r>
            <w:r>
              <w:rPr>
                <w:rFonts w:ascii="宋体" w:hint="eastAsia"/>
                <w:bCs/>
                <w:szCs w:val="21"/>
              </w:rPr>
              <w:t>得</w:t>
            </w:r>
            <w:r>
              <w:rPr>
                <w:rFonts w:ascii="宋体"/>
                <w:bCs/>
                <w:szCs w:val="21"/>
              </w:rPr>
              <w:t>1</w:t>
            </w:r>
            <w:r>
              <w:rPr>
                <w:rFonts w:ascii="宋体" w:hint="eastAsia"/>
                <w:bCs/>
                <w:szCs w:val="21"/>
              </w:rPr>
              <w:t>分；</w:t>
            </w:r>
          </w:p>
          <w:p>
            <w:pPr>
              <w:pStyle w:val="60"/>
              <w:autoSpaceDN w:val="0"/>
              <w:adjustRightInd w:val="0"/>
              <w:snapToGrid w:val="0"/>
              <w:rPr>
                <w:rFonts w:ascii="宋体" w:hint="eastAsia"/>
                <w:bCs/>
                <w:szCs w:val="21"/>
              </w:rPr>
            </w:pPr>
            <w:r>
              <w:rPr>
                <w:rFonts w:ascii="宋体" w:hint="eastAsia"/>
                <w:bCs/>
                <w:szCs w:val="21"/>
              </w:rPr>
              <w:t>具</w:t>
            </w:r>
            <w:r>
              <w:rPr>
                <w:rFonts w:ascii="宋体" w:eastAsia="宋体" w:cs="Times New Roman" w:hint="eastAsia"/>
                <w:bCs/>
                <w:szCs w:val="21"/>
              </w:rPr>
              <w:t>有ISO20000信息技术服务管理体系认证</w:t>
            </w:r>
            <w:r>
              <w:rPr>
                <w:rFonts w:ascii="宋体" w:hint="eastAsia"/>
                <w:bCs/>
                <w:szCs w:val="21"/>
              </w:rPr>
              <w:t>得</w:t>
            </w:r>
            <w:r>
              <w:rPr>
                <w:rFonts w:ascii="宋体"/>
                <w:bCs/>
                <w:szCs w:val="21"/>
              </w:rPr>
              <w:t>1</w:t>
            </w:r>
            <w:r>
              <w:rPr>
                <w:rFonts w:ascii="宋体" w:hint="eastAsia"/>
                <w:bCs/>
                <w:szCs w:val="21"/>
              </w:rPr>
              <w:t>分</w:t>
            </w:r>
            <w:r>
              <w:rPr>
                <w:rFonts w:ascii="宋体" w:eastAsia="宋体" w:cs="Times New Roman" w:hint="eastAsia"/>
                <w:bCs/>
                <w:szCs w:val="21"/>
              </w:rPr>
              <w:t>；</w:t>
            </w:r>
          </w:p>
          <w:p>
            <w:pPr>
              <w:pStyle w:val="60"/>
              <w:autoSpaceDN w:val="0"/>
              <w:adjustRightInd w:val="0"/>
              <w:snapToGrid w:val="0"/>
              <w:rPr>
                <w:rFonts w:ascii="宋体" w:hint="eastAsia"/>
                <w:bCs/>
                <w:szCs w:val="21"/>
              </w:rPr>
            </w:pPr>
            <w:r>
              <w:rPr>
                <w:rFonts w:ascii="宋体" w:hint="eastAsia"/>
                <w:bCs/>
                <w:szCs w:val="21"/>
              </w:rPr>
              <w:t>具有</w:t>
            </w:r>
            <w:r>
              <w:rPr>
                <w:rFonts w:cs="Times New Roman" w:hint="eastAsia"/>
                <w:lang w:val="en-US" w:eastAsia="zh-CN"/>
              </w:rPr>
              <w:t>信息安全管理体系认证</w:t>
            </w:r>
            <w:r>
              <w:rPr>
                <w:rFonts w:ascii="宋体" w:hint="eastAsia"/>
                <w:bCs/>
                <w:szCs w:val="21"/>
              </w:rPr>
              <w:t>证书得</w:t>
            </w:r>
            <w:r>
              <w:rPr>
                <w:rFonts w:ascii="宋体"/>
                <w:bCs/>
                <w:szCs w:val="21"/>
              </w:rPr>
              <w:t>1</w:t>
            </w:r>
            <w:r>
              <w:rPr>
                <w:rFonts w:ascii="宋体" w:hint="eastAsia"/>
                <w:bCs/>
                <w:szCs w:val="21"/>
              </w:rPr>
              <w:t>分；</w:t>
            </w:r>
          </w:p>
          <w:p>
            <w:pPr>
              <w:pStyle w:val="60"/>
              <w:autoSpaceDN w:val="0"/>
              <w:adjustRightInd w:val="0"/>
              <w:snapToGrid w:val="0"/>
              <w:rPr>
                <w:rFonts w:ascii="宋体" w:hint="eastAsia"/>
                <w:bCs/>
                <w:szCs w:val="21"/>
              </w:rPr>
            </w:pPr>
            <w:r>
              <w:rPr>
                <w:rFonts w:ascii="宋体" w:hint="eastAsia"/>
                <w:bCs/>
                <w:szCs w:val="21"/>
              </w:rPr>
              <w:t>具有</w:t>
            </w:r>
            <w:r>
              <w:rPr>
                <w:rFonts w:cs="Times New Roman" w:hint="eastAsia"/>
                <w:lang w:val="en-US" w:eastAsia="zh-CN"/>
              </w:rPr>
              <w:t>隐私信息管理体系认证证书</w:t>
            </w:r>
            <w:r>
              <w:rPr>
                <w:rFonts w:ascii="宋体" w:hint="eastAsia"/>
                <w:bCs/>
                <w:szCs w:val="21"/>
              </w:rPr>
              <w:t>得</w:t>
            </w:r>
            <w:r>
              <w:rPr>
                <w:rFonts w:ascii="宋体"/>
                <w:bCs/>
                <w:szCs w:val="21"/>
              </w:rPr>
              <w:t>1</w:t>
            </w:r>
            <w:r>
              <w:rPr>
                <w:rFonts w:ascii="宋体" w:hint="eastAsia"/>
                <w:bCs/>
                <w:szCs w:val="21"/>
              </w:rPr>
              <w:t>分；</w:t>
            </w:r>
          </w:p>
          <w:p>
            <w:pPr>
              <w:pStyle w:val="60"/>
              <w:autoSpaceDN w:val="0"/>
              <w:adjustRightInd w:val="0"/>
              <w:snapToGrid w:val="0"/>
              <w:rPr>
                <w:rFonts w:ascii="宋体" w:hint="eastAsia"/>
                <w:bCs/>
                <w:szCs w:val="21"/>
              </w:rPr>
            </w:pPr>
            <w:r>
              <w:rPr>
                <w:rFonts w:ascii="宋体" w:hint="eastAsia"/>
                <w:bCs/>
                <w:szCs w:val="21"/>
              </w:rPr>
              <w:t>具有软件产品认证，每项得</w:t>
            </w:r>
            <w:r>
              <w:rPr>
                <w:rFonts w:ascii="宋体"/>
                <w:bCs/>
                <w:szCs w:val="21"/>
              </w:rPr>
              <w:t>1</w:t>
            </w:r>
            <w:r>
              <w:rPr>
                <w:rFonts w:ascii="宋体" w:hint="eastAsia"/>
                <w:bCs/>
                <w:szCs w:val="21"/>
              </w:rPr>
              <w:t>分；</w:t>
            </w:r>
          </w:p>
          <w:p>
            <w:pPr>
              <w:pStyle w:val="60"/>
              <w:autoSpaceDN w:val="0"/>
              <w:adjustRightInd w:val="0"/>
              <w:snapToGrid w:val="0"/>
              <w:rPr>
                <w:rFonts w:ascii="宋体" w:hint="eastAsia"/>
                <w:bCs/>
                <w:szCs w:val="21"/>
              </w:rPr>
            </w:pPr>
            <w:r>
              <w:rPr>
                <w:rFonts w:ascii="宋体" w:hint="eastAsia"/>
                <w:bCs/>
                <w:szCs w:val="21"/>
              </w:rPr>
              <w:t>具有软件著作权，每项</w:t>
            </w:r>
            <w:r>
              <w:rPr>
                <w:rFonts w:ascii="宋体"/>
                <w:bCs/>
                <w:szCs w:val="21"/>
              </w:rPr>
              <w:t>1</w:t>
            </w:r>
            <w:r>
              <w:rPr>
                <w:rFonts w:ascii="宋体" w:hint="eastAsia"/>
                <w:bCs/>
                <w:szCs w:val="21"/>
              </w:rPr>
              <w:t>分；</w:t>
            </w:r>
          </w:p>
          <w:p>
            <w:pPr>
              <w:pStyle w:val="60"/>
              <w:autoSpaceDN w:val="0"/>
              <w:adjustRightInd w:val="0"/>
              <w:snapToGrid w:val="0"/>
              <w:rPr>
                <w:rFonts w:ascii="宋体" w:hint="eastAsia"/>
                <w:bCs/>
                <w:szCs w:val="21"/>
              </w:rPr>
            </w:pPr>
            <w:r>
              <w:rPr>
                <w:rFonts w:ascii="宋体" w:hint="eastAsia"/>
                <w:bCs/>
                <w:szCs w:val="21"/>
              </w:rPr>
              <w:t>具有信息技术专利，每项</w:t>
            </w:r>
            <w:r>
              <w:rPr>
                <w:rFonts w:ascii="宋体"/>
                <w:bCs/>
                <w:szCs w:val="21"/>
              </w:rPr>
              <w:t>1</w:t>
            </w:r>
            <w:r>
              <w:rPr>
                <w:rFonts w:ascii="宋体" w:hint="eastAsia"/>
                <w:bCs/>
                <w:szCs w:val="21"/>
              </w:rPr>
              <w:t>分；</w:t>
            </w:r>
          </w:p>
          <w:p>
            <w:pPr>
              <w:pStyle w:val="60"/>
              <w:autoSpaceDN w:val="0"/>
              <w:adjustRightInd w:val="0"/>
              <w:snapToGrid w:val="0"/>
              <w:rPr>
                <w:rFonts w:ascii="宋体" w:hint="eastAsia"/>
                <w:bCs/>
                <w:szCs w:val="21"/>
              </w:rPr>
            </w:pPr>
            <w:r>
              <w:rPr>
                <w:rFonts w:ascii="宋体" w:hint="eastAsia"/>
                <w:bCs/>
                <w:szCs w:val="21"/>
              </w:rPr>
              <w:t>具有计算机信息系统集成资质得</w:t>
            </w:r>
            <w:r>
              <w:rPr>
                <w:rFonts w:ascii="宋体"/>
                <w:bCs/>
                <w:szCs w:val="21"/>
              </w:rPr>
              <w:t>1</w:t>
            </w:r>
            <w:r>
              <w:rPr>
                <w:rFonts w:ascii="宋体" w:hint="eastAsia"/>
                <w:bCs/>
                <w:szCs w:val="21"/>
              </w:rPr>
              <w:t>分；</w:t>
            </w:r>
          </w:p>
          <w:p>
            <w:pPr>
              <w:pStyle w:val="60"/>
              <w:autoSpaceDN w:val="0"/>
              <w:adjustRightInd w:val="0"/>
              <w:snapToGrid w:val="0"/>
              <w:rPr>
                <w:rFonts w:ascii="宋体" w:hint="eastAsia"/>
                <w:bCs/>
                <w:szCs w:val="21"/>
              </w:rPr>
            </w:pPr>
            <w:r>
              <w:rPr>
                <w:rFonts w:ascii="宋体" w:hint="eastAsia"/>
                <w:bCs/>
                <w:szCs w:val="21"/>
              </w:rPr>
              <w:t>具有重点软件企业认定得</w:t>
            </w:r>
            <w:r>
              <w:rPr>
                <w:rFonts w:ascii="宋体"/>
                <w:bCs/>
                <w:szCs w:val="21"/>
              </w:rPr>
              <w:t>1</w:t>
            </w:r>
            <w:r>
              <w:rPr>
                <w:rFonts w:ascii="宋体" w:hint="eastAsia"/>
                <w:bCs/>
                <w:szCs w:val="21"/>
              </w:rPr>
              <w:t>分。</w:t>
            </w:r>
          </w:p>
          <w:p>
            <w:pPr>
              <w:pStyle w:val="60"/>
              <w:autoSpaceDN w:val="0"/>
              <w:adjustRightInd w:val="0"/>
              <w:snapToGrid w:val="0"/>
              <w:rPr>
                <w:rFonts w:ascii="宋体" w:hint="eastAsia"/>
                <w:bCs/>
                <w:szCs w:val="21"/>
              </w:rPr>
            </w:pPr>
            <w:r>
              <w:rPr>
                <w:rFonts w:ascii="宋体" w:hint="eastAsia"/>
                <w:bCs/>
                <w:szCs w:val="21"/>
              </w:rPr>
              <w:t>此项满分</w:t>
            </w:r>
            <w:r>
              <w:rPr>
                <w:rFonts w:ascii="宋体"/>
                <w:bCs/>
                <w:szCs w:val="21"/>
              </w:rPr>
              <w:t>5</w:t>
            </w:r>
            <w:r>
              <w:rPr>
                <w:rFonts w:ascii="宋体" w:hint="eastAsia"/>
                <w:bCs/>
                <w:szCs w:val="21"/>
              </w:rPr>
              <w:t>分。</w:t>
            </w:r>
          </w:p>
        </w:tc>
      </w:tr>
      <w:tr>
        <w:trPr>
          <w:trHeight w:val="1621"/>
        </w:trPr>
        <w:tc>
          <w:tcPr>
            <w:tcW w:w="426" w:type="dxa"/>
            <w:vMerge/>
            <w:vAlign w:val="center"/>
          </w:tcPr>
          <w:p/>
        </w:tc>
        <w:tc>
          <w:tcPr>
            <w:tcW w:w="951" w:type="dxa"/>
            <w:vMerge/>
            <w:vAlign w:val="center"/>
          </w:tcPr>
          <w:p/>
        </w:tc>
        <w:tc>
          <w:tcPr>
            <w:tcW w:w="426" w:type="dxa"/>
            <w:vAlign w:val="center"/>
          </w:tcPr>
          <w:p>
            <w:pPr>
              <w:pStyle w:val="65"/>
              <w:autoSpaceDN w:val="0"/>
              <w:adjustRightInd w:val="0"/>
              <w:snapToGrid w:val="0"/>
              <w:rPr>
                <w:rFonts w:ascii="宋体"/>
                <w:szCs w:val="21"/>
                <w:lang w:val="en-US" w:eastAsia="zh-CN"/>
              </w:rPr>
            </w:pPr>
            <w:r>
              <w:rPr>
                <w:rFonts w:ascii="宋体" w:hint="eastAsia"/>
                <w:szCs w:val="21"/>
                <w:lang w:val="en-US" w:eastAsia="zh-CN"/>
              </w:rPr>
              <w:t>行业案例</w:t>
            </w:r>
          </w:p>
          <w:p>
            <w:pPr>
              <w:pStyle w:val="65"/>
              <w:autoSpaceDN w:val="0"/>
              <w:adjustRightInd w:val="0"/>
              <w:snapToGrid w:val="0"/>
              <w:rPr>
                <w:rFonts w:ascii="宋体" w:eastAsia="宋体"/>
                <w:szCs w:val="21"/>
                <w:lang w:val="en-US" w:eastAsia="zh-CN"/>
              </w:rPr>
            </w:pPr>
            <w:r>
              <w:rPr>
                <w:rFonts w:ascii="宋体"/>
                <w:szCs w:val="21"/>
                <w:lang w:val="en-US" w:eastAsia="zh-CN"/>
              </w:rPr>
              <w:t>5</w:t>
            </w:r>
            <w:r>
              <w:rPr>
                <w:rFonts w:ascii="宋体" w:hint="eastAsia"/>
                <w:szCs w:val="21"/>
                <w:lang w:val="en-US" w:eastAsia="zh-CN"/>
              </w:rPr>
              <w:t>分</w:t>
            </w:r>
          </w:p>
        </w:tc>
        <w:tc>
          <w:tcPr>
            <w:tcW w:w="8051" w:type="dxa"/>
            <w:vAlign w:val="center"/>
          </w:tcPr>
          <w:p>
            <w:pPr>
              <w:pStyle w:val="66"/>
              <w:autoSpaceDN w:val="0"/>
              <w:adjustRightInd w:val="0"/>
              <w:snapToGrid w:val="0"/>
              <w:rPr>
                <w:rFonts w:ascii="宋体" w:hint="eastAsia"/>
                <w:bCs/>
                <w:szCs w:val="21"/>
              </w:rPr>
            </w:pPr>
            <w:r>
              <w:rPr>
                <w:rFonts w:ascii="宋体" w:hint="eastAsia"/>
                <w:bCs/>
                <w:szCs w:val="21"/>
              </w:rPr>
              <w:t>供应商自2022年1月1日至本项目采购公告发布之日，具有类似信息化系统开发或运维服务类项目成功实施案例，每提供一项得</w:t>
            </w:r>
            <w:r>
              <w:rPr>
                <w:rFonts w:ascii="宋体"/>
                <w:bCs/>
                <w:szCs w:val="21"/>
              </w:rPr>
              <w:t>1</w:t>
            </w:r>
            <w:r>
              <w:rPr>
                <w:rFonts w:ascii="宋体" w:hint="eastAsia"/>
                <w:bCs/>
                <w:szCs w:val="21"/>
              </w:rPr>
              <w:t>分，累积最高得分为</w:t>
            </w:r>
            <w:r>
              <w:rPr>
                <w:rFonts w:ascii="宋体"/>
                <w:bCs/>
                <w:szCs w:val="21"/>
              </w:rPr>
              <w:t>5</w:t>
            </w:r>
            <w:r>
              <w:rPr>
                <w:rFonts w:ascii="宋体" w:hint="eastAsia"/>
                <w:bCs/>
                <w:szCs w:val="21"/>
              </w:rPr>
              <w:t>分；未提供或不符合要求不得分。</w:t>
            </w:r>
          </w:p>
          <w:p>
            <w:pPr>
              <w:pStyle w:val="66"/>
              <w:autoSpaceDN w:val="0"/>
              <w:adjustRightInd w:val="0"/>
              <w:snapToGrid w:val="0"/>
              <w:rPr>
                <w:rFonts w:ascii="宋体" w:hint="eastAsia"/>
                <w:bCs/>
                <w:szCs w:val="21"/>
              </w:rPr>
            </w:pPr>
            <w:r>
              <w:rPr>
                <w:rFonts w:ascii="宋体" w:hint="eastAsia"/>
                <w:bCs/>
                <w:szCs w:val="21"/>
              </w:rPr>
              <w:t>须提供合同复印件并加盖供应商公章。合同复印件中必须包含合同名称、服务内容、合同金额、合同双方印章签字、签订时间、付款条件页等信息内容，所有扫描复印件加盖供应商单位签章（以上内容缺少一项，案例不予承认，不予计分）。</w:t>
            </w:r>
          </w:p>
        </w:tc>
      </w:tr>
      <w:tr>
        <w:trPr>
          <w:trHeight w:val="2709"/>
        </w:trPr>
        <w:tc>
          <w:tcPr>
            <w:tcW w:w="426" w:type="dxa"/>
            <w:vMerge/>
            <w:vAlign w:val="center"/>
          </w:tcPr>
          <w:p/>
        </w:tc>
        <w:tc>
          <w:tcPr>
            <w:tcW w:w="951" w:type="dxa"/>
            <w:vMerge/>
            <w:vAlign w:val="center"/>
          </w:tcPr>
          <w:p/>
        </w:tc>
        <w:tc>
          <w:tcPr>
            <w:tcW w:w="426" w:type="dxa"/>
            <w:vAlign w:val="center"/>
          </w:tcPr>
          <w:p>
            <w:pPr>
              <w:pStyle w:val="67"/>
              <w:autoSpaceDN w:val="0"/>
              <w:adjustRightInd w:val="0"/>
              <w:snapToGrid w:val="0"/>
              <w:rPr>
                <w:rFonts w:ascii="宋体"/>
                <w:szCs w:val="21"/>
                <w:lang w:val="en-US" w:eastAsia="zh-CN"/>
              </w:rPr>
            </w:pPr>
            <w:r>
              <w:rPr>
                <w:rFonts w:ascii="宋体" w:hint="eastAsia"/>
                <w:szCs w:val="21"/>
                <w:lang w:val="en-US" w:eastAsia="zh-CN"/>
              </w:rPr>
              <w:t>团队能力</w:t>
            </w:r>
          </w:p>
          <w:p>
            <w:pPr>
              <w:pStyle w:val="67"/>
              <w:autoSpaceDN w:val="0"/>
              <w:adjustRightInd w:val="0"/>
              <w:snapToGrid w:val="0"/>
              <w:rPr>
                <w:rFonts w:ascii="宋体" w:eastAsia="宋体"/>
                <w:szCs w:val="21"/>
                <w:lang w:val="en-US" w:eastAsia="zh-CN"/>
              </w:rPr>
            </w:pPr>
            <w:r>
              <w:rPr>
                <w:rFonts w:ascii="宋体" w:hint="eastAsia"/>
                <w:szCs w:val="21"/>
                <w:lang w:val="en-US" w:eastAsia="zh-CN"/>
              </w:rPr>
              <w:t>10分</w:t>
            </w:r>
          </w:p>
        </w:tc>
        <w:tc>
          <w:tcPr>
            <w:tcW w:w="8051" w:type="dxa"/>
            <w:vAlign w:val="center"/>
          </w:tcPr>
          <w:p>
            <w:pPr>
              <w:pStyle w:val="68"/>
              <w:autoSpaceDN w:val="0"/>
              <w:adjustRightInd w:val="0"/>
              <w:snapToGrid w:val="0"/>
              <w:rPr>
                <w:rFonts w:ascii="宋体" w:hint="eastAsia"/>
                <w:bCs/>
                <w:szCs w:val="21"/>
              </w:rPr>
            </w:pPr>
            <w:r>
              <w:rPr>
                <w:rFonts w:ascii="宋体" w:hint="eastAsia"/>
                <w:bCs/>
                <w:szCs w:val="21"/>
              </w:rPr>
              <w:t>具备</w:t>
            </w:r>
            <w:r>
              <w:rPr>
                <w:rFonts w:ascii="宋体" w:hint="eastAsia"/>
                <w:bCs/>
                <w:szCs w:val="21"/>
                <w:lang w:val="en-US" w:eastAsia="zh-CN"/>
              </w:rPr>
              <w:t>5</w:t>
            </w:r>
            <w:r>
              <w:rPr>
                <w:rFonts w:ascii="宋体" w:hint="eastAsia"/>
                <w:bCs/>
                <w:szCs w:val="21"/>
              </w:rPr>
              <w:t>名及以上的JAVA开发工程师团队（须提供人员名单并标注</w:t>
            </w:r>
            <w:r>
              <w:rPr>
                <w:rFonts w:ascii="宋体" w:hint="eastAsia"/>
                <w:bCs/>
                <w:szCs w:val="21"/>
                <w:lang w:val="en-US" w:eastAsia="zh-CN"/>
              </w:rPr>
              <w:t>美工设计、</w:t>
            </w:r>
            <w:r>
              <w:rPr>
                <w:rFonts w:ascii="宋体" w:hint="eastAsia"/>
                <w:bCs/>
                <w:szCs w:val="21"/>
              </w:rPr>
              <w:t>前端开发工程师、后端开发工程师，且每位员工需提供</w:t>
            </w:r>
            <w:r>
              <w:rPr>
                <w:rFonts w:ascii="宋体" w:hint="eastAsia"/>
                <w:bCs/>
                <w:szCs w:val="21"/>
                <w:lang w:val="en-US" w:eastAsia="zh-CN"/>
              </w:rPr>
              <w:t>2025年起的</w:t>
            </w:r>
            <w:r>
              <w:rPr>
                <w:rFonts w:ascii="宋体" w:hint="eastAsia"/>
                <w:bCs/>
                <w:szCs w:val="21"/>
              </w:rPr>
              <w:t>1年社保缴纳证明）。</w:t>
            </w:r>
          </w:p>
          <w:p>
            <w:pPr>
              <w:pStyle w:val="68"/>
              <w:autoSpaceDN w:val="0"/>
              <w:adjustRightInd w:val="0"/>
              <w:snapToGrid w:val="0"/>
              <w:rPr>
                <w:rFonts w:ascii="宋体" w:hint="eastAsia"/>
                <w:bCs/>
                <w:szCs w:val="21"/>
              </w:rPr>
            </w:pPr>
            <w:r>
              <w:rPr>
                <w:rFonts w:ascii="宋体" w:hint="eastAsia"/>
                <w:bCs/>
                <w:szCs w:val="21"/>
              </w:rPr>
              <w:t>1.拟派本项目经理具备PMP、或CSPM资质证书得5分</w:t>
            </w:r>
          </w:p>
          <w:p>
            <w:pPr>
              <w:pStyle w:val="68"/>
              <w:autoSpaceDN w:val="0"/>
              <w:adjustRightInd w:val="0"/>
              <w:snapToGrid w:val="0"/>
              <w:rPr>
                <w:rFonts w:ascii="宋体" w:hint="eastAsia"/>
                <w:bCs/>
                <w:szCs w:val="21"/>
              </w:rPr>
            </w:pPr>
            <w:r>
              <w:rPr>
                <w:rFonts w:ascii="宋体" w:hint="eastAsia"/>
                <w:bCs/>
                <w:szCs w:val="21"/>
              </w:rPr>
              <w:t>2.具备</w:t>
            </w:r>
            <w:r>
              <w:rPr>
                <w:rFonts w:ascii="宋体" w:hint="eastAsia"/>
                <w:bCs/>
                <w:szCs w:val="21"/>
                <w:lang w:val="en-US" w:eastAsia="zh-CN"/>
              </w:rPr>
              <w:t>5</w:t>
            </w:r>
            <w:r>
              <w:rPr>
                <w:rFonts w:ascii="宋体" w:hint="eastAsia"/>
                <w:bCs/>
                <w:szCs w:val="21"/>
              </w:rPr>
              <w:t>名及以上的JAVA开发工程师团队，其中同时包含</w:t>
            </w:r>
            <w:r>
              <w:rPr>
                <w:rFonts w:ascii="宋体" w:hint="eastAsia"/>
                <w:bCs/>
                <w:szCs w:val="21"/>
                <w:lang w:val="en-US" w:eastAsia="zh-CN"/>
              </w:rPr>
              <w:t>美工设计、</w:t>
            </w:r>
            <w:r>
              <w:rPr>
                <w:rFonts w:ascii="宋体" w:hint="eastAsia"/>
                <w:bCs/>
                <w:szCs w:val="21"/>
              </w:rPr>
              <w:t>前端开发工程师、后端开发工程师</w:t>
            </w:r>
            <w:r>
              <w:rPr>
                <w:rFonts w:ascii="宋体" w:hint="eastAsia"/>
                <w:bCs/>
                <w:szCs w:val="21"/>
                <w:lang w:val="en-US" w:eastAsia="zh-CN"/>
              </w:rPr>
              <w:t>3</w:t>
            </w:r>
            <w:r>
              <w:rPr>
                <w:rFonts w:ascii="宋体" w:hint="eastAsia"/>
                <w:bCs/>
                <w:szCs w:val="21"/>
              </w:rPr>
              <w:t>种类型的，得5分；具备软件开发相关高级证书，每人得2分；具备软件开发相关中级证书，每人得1分。（同一人仅按最高级别证书评分）</w:t>
            </w:r>
          </w:p>
          <w:p>
            <w:pPr>
              <w:pStyle w:val="68"/>
              <w:autoSpaceDN w:val="0"/>
              <w:adjustRightInd w:val="0"/>
              <w:snapToGrid w:val="0"/>
              <w:rPr>
                <w:rFonts w:ascii="宋体" w:hint="eastAsia"/>
                <w:bCs/>
                <w:szCs w:val="21"/>
              </w:rPr>
            </w:pPr>
            <w:r>
              <w:rPr>
                <w:rFonts w:ascii="宋体" w:hint="eastAsia"/>
                <w:bCs/>
                <w:szCs w:val="21"/>
              </w:rPr>
              <w:t>3.具备</w:t>
            </w:r>
            <w:r>
              <w:rPr>
                <w:rFonts w:ascii="宋体" w:hint="eastAsia"/>
                <w:bCs/>
                <w:szCs w:val="21"/>
                <w:lang w:val="en-US" w:eastAsia="zh-CN"/>
              </w:rPr>
              <w:t>5</w:t>
            </w:r>
            <w:r>
              <w:rPr>
                <w:rFonts w:ascii="宋体" w:hint="eastAsia"/>
                <w:bCs/>
                <w:szCs w:val="21"/>
              </w:rPr>
              <w:t>名及以上的JAVA开发工程师团队，其中不全部包含</w:t>
            </w:r>
            <w:r>
              <w:rPr>
                <w:rFonts w:ascii="宋体" w:hint="eastAsia"/>
                <w:bCs/>
                <w:szCs w:val="21"/>
                <w:lang w:val="en-US" w:eastAsia="zh-CN"/>
              </w:rPr>
              <w:t>美工设计、</w:t>
            </w:r>
            <w:r>
              <w:rPr>
                <w:rFonts w:ascii="宋体" w:hint="eastAsia"/>
                <w:bCs/>
                <w:szCs w:val="21"/>
              </w:rPr>
              <w:t>前端开发工程师、后端开发工程师</w:t>
            </w:r>
            <w:r>
              <w:rPr>
                <w:rFonts w:ascii="宋体" w:hint="eastAsia"/>
                <w:bCs/>
                <w:szCs w:val="21"/>
                <w:lang w:val="en-US" w:eastAsia="zh-CN"/>
              </w:rPr>
              <w:t>3</w:t>
            </w:r>
            <w:r>
              <w:rPr>
                <w:rFonts w:ascii="宋体" w:hint="eastAsia"/>
                <w:bCs/>
                <w:szCs w:val="21"/>
              </w:rPr>
              <w:t>种类型的，得3分；</w:t>
            </w:r>
          </w:p>
          <w:p>
            <w:pPr>
              <w:pStyle w:val="68"/>
              <w:autoSpaceDN w:val="0"/>
              <w:adjustRightInd w:val="0"/>
              <w:snapToGrid w:val="0"/>
              <w:rPr>
                <w:rFonts w:ascii="宋体" w:hint="eastAsia"/>
                <w:bCs/>
                <w:szCs w:val="21"/>
              </w:rPr>
            </w:pPr>
            <w:r>
              <w:rPr>
                <w:rFonts w:ascii="宋体" w:hint="eastAsia"/>
                <w:bCs/>
                <w:szCs w:val="21"/>
              </w:rPr>
              <w:t>4.未具备</w:t>
            </w:r>
            <w:r>
              <w:rPr>
                <w:rFonts w:ascii="宋体" w:hint="eastAsia"/>
                <w:bCs/>
                <w:szCs w:val="21"/>
                <w:lang w:val="en-US" w:eastAsia="zh-CN"/>
              </w:rPr>
              <w:t>5</w:t>
            </w:r>
            <w:r>
              <w:rPr>
                <w:rFonts w:ascii="宋体" w:hint="eastAsia"/>
                <w:bCs/>
                <w:szCs w:val="21"/>
              </w:rPr>
              <w:t>名及以下的JAVA开发工程师团队的，不得分。</w:t>
            </w:r>
          </w:p>
          <w:p>
            <w:pPr>
              <w:pStyle w:val="68"/>
              <w:autoSpaceDN w:val="0"/>
              <w:adjustRightInd w:val="0"/>
              <w:snapToGrid w:val="0"/>
              <w:rPr>
                <w:rFonts w:ascii="宋体" w:hint="eastAsia"/>
                <w:bCs/>
                <w:szCs w:val="21"/>
              </w:rPr>
            </w:pPr>
            <w:r>
              <w:rPr>
                <w:rFonts w:ascii="宋体" w:hint="eastAsia"/>
                <w:bCs/>
                <w:szCs w:val="21"/>
              </w:rPr>
              <w:t>此项满分10分。</w:t>
            </w:r>
          </w:p>
        </w:tc>
      </w:tr>
    </w:tbl>
    <w:p>
      <w:pPr>
        <w:pStyle w:val="58"/>
        <w:snapToGrid w:val="0"/>
        <w:spacing w:line="480" w:lineRule="exact"/>
        <w:ind w:firstLineChars="196" w:firstLine="549"/>
        <w:jc w:val="left"/>
        <w:rPr>
          <w:rFonts w:ascii="仿宋_GB2312" w:eastAsia="仿宋_GB2312" w:cs="Courier New"/>
          <w:b/>
          <w:sz w:val="28"/>
          <w:szCs w:val="28"/>
        </w:rPr>
      </w:pPr>
      <w:r>
        <w:rPr>
          <w:rFonts w:ascii="仿宋_GB2312" w:eastAsia="仿宋_GB2312" w:cs="Courier New" w:hint="eastAsia"/>
          <w:b/>
          <w:sz w:val="28"/>
          <w:szCs w:val="28"/>
        </w:rPr>
        <w:t>（三）成交候选人确定/推荐原则</w:t>
      </w:r>
    </w:p>
    <w:p>
      <w:pPr>
        <w:pStyle w:val="58"/>
        <w:snapToGrid w:val="0"/>
        <w:spacing w:line="480" w:lineRule="exact"/>
        <w:ind w:firstLineChars="200" w:firstLine="560"/>
        <w:jc w:val="left"/>
        <w:rPr>
          <w:rFonts w:ascii="方正仿宋_GBK" w:eastAsia="方正仿宋_GBK"/>
          <w:color w:val="000000"/>
          <w:sz w:val="28"/>
          <w:szCs w:val="28"/>
        </w:rPr>
      </w:pPr>
      <w:r>
        <w:rPr>
          <w:rFonts w:ascii="方正仿宋_GBK" w:eastAsia="方正仿宋_GBK" w:hint="eastAsia"/>
          <w:color w:val="000000"/>
          <w:sz w:val="28"/>
          <w:szCs w:val="28"/>
        </w:rPr>
        <w:t>评审小组将按总得分由高到低排列成交候选供应商顺序（总得分相同时，依次按投标报价低优先、技术分高优先、质量保证期长优先、提交服务成果时间短优先、处理问题到达时间短优先的顺序排列），并依照次序确定/推荐成交候选人。</w:t>
      </w:r>
    </w:p>
    <w:p>
      <w:pPr>
        <w:pStyle w:val="58"/>
        <w:spacing w:line="480" w:lineRule="exact"/>
        <w:ind w:firstLine="630"/>
        <w:rPr>
          <w:rFonts w:eastAsia="方正仿宋_GBK"/>
          <w:sz w:val="28"/>
        </w:rPr>
      </w:pPr>
      <w:r>
        <w:rPr>
          <w:rFonts w:eastAsia="方正黑体_GBK" w:hint="eastAsia"/>
          <w:color w:val="000000"/>
          <w:sz w:val="28"/>
          <w:szCs w:val="28"/>
        </w:rPr>
        <w:t>六</w:t>
      </w:r>
      <w:r>
        <w:rPr>
          <w:rFonts w:eastAsia="方正黑体_GBK"/>
          <w:color w:val="000000"/>
          <w:sz w:val="28"/>
          <w:szCs w:val="28"/>
        </w:rPr>
        <w:t>、评审地点</w:t>
      </w:r>
      <w:r>
        <w:rPr>
          <w:rFonts w:eastAsia="方正仿宋_GBK"/>
          <w:color w:val="000000"/>
          <w:sz w:val="28"/>
          <w:szCs w:val="28"/>
        </w:rPr>
        <w:t>：</w:t>
      </w:r>
      <w:r>
        <w:rPr>
          <w:rFonts w:eastAsia="方正仿宋_GBK" w:hint="eastAsia"/>
          <w:color w:val="000000"/>
          <w:sz w:val="28"/>
          <w:szCs w:val="28"/>
        </w:rPr>
        <w:t>南宁海关滨湖办公区</w:t>
      </w:r>
      <w:r>
        <w:rPr>
          <w:rFonts w:eastAsia="方正仿宋_GBK"/>
          <w:color w:val="000000"/>
          <w:sz w:val="28"/>
          <w:szCs w:val="28"/>
        </w:rPr>
        <w:t>1304</w:t>
      </w:r>
      <w:r>
        <w:rPr>
          <w:rFonts w:eastAsia="方正仿宋_GBK" w:hint="eastAsia"/>
          <w:color w:val="000000"/>
          <w:sz w:val="28"/>
          <w:szCs w:val="28"/>
        </w:rPr>
        <w:t>评</w:t>
      </w:r>
      <w:r>
        <w:rPr>
          <w:rFonts w:eastAsia="方正仿宋_GBK" w:hint="eastAsia"/>
          <w:sz w:val="28"/>
          <w:szCs w:val="28"/>
        </w:rPr>
        <w:t>审</w:t>
      </w:r>
      <w:r>
        <w:rPr>
          <w:rFonts w:eastAsia="方正仿宋_GBK"/>
          <w:sz w:val="28"/>
          <w:szCs w:val="28"/>
        </w:rPr>
        <w:t>室</w:t>
      </w:r>
      <w:r>
        <w:rPr>
          <w:rFonts w:eastAsia="方正仿宋_GBK" w:hint="eastAsia"/>
          <w:sz w:val="28"/>
          <w:szCs w:val="28"/>
        </w:rPr>
        <w:t>。</w:t>
      </w:r>
      <w:bookmarkEnd w:id="0"/>
    </w:p>
    <w:sectPr>
      <w:footerReference w:type="default" r:id="rId2"/>
      <w:footerReference w:type="first" r:id="rId3"/>
      <w:pgSz w:w="11906" w:h="16838"/>
      <w:pgMar w:top="1134" w:right="1134" w:bottom="1134" w:left="1134" w:header="851" w:footer="851" w:gutter="0"/>
      <w:pgNumType w:start="1"/>
      <w:titlePg/>
      <w:docGrid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CC"/>
    <w:family w:val="roman"/>
    <w:pitch w:val="variable"/>
    <w:sig w:usb0="E0002EFF" w:usb1="C000785B" w:usb2="00000009" w:usb3="00000000" w:csb0="400001FF" w:csb1="FFFF0000"/>
  </w:font>
  <w:font w:name="Arial">
    <w:panose1 w:val="020B0604020202020204"/>
    <w:charset w:val="01"/>
    <w:family w:val="swiss"/>
    <w:pitch w:val="variable"/>
    <w:sig w:usb0="E0002EFF" w:usb1="C000785B" w:usb2="00000009" w:usb3="00000000" w:csb0="400001FF" w:csb1="FFFF0000"/>
  </w:font>
  <w:font w:name="仿宋_GB2312">
    <w:altName w:val="仿宋"/>
    <w:panose1 w:val="00000000000000000000"/>
    <w:charset w:val="00"/>
    <w:family w:val="auto"/>
    <w:pitch w:val="variable"/>
    <w:sig w:usb0="00000000" w:usb1="00000000" w:usb2="00000000" w:usb3="00000000" w:csb0="00000000" w:csb1="00000000"/>
  </w:font>
  <w:font w:name="Courier New">
    <w:panose1 w:val="02070409020205090404"/>
    <w:charset w:val="00"/>
    <w:family w:val="auto"/>
    <w:pitch w:val="variable"/>
    <w:sig w:usb0="00007A87" w:usb1="80000000" w:usb2="00000008" w:usb3="00000000" w:csb0="400001FF" w:csb1="FFFF0000"/>
  </w:font>
  <w:font w:name="宋体">
    <w:panose1 w:val="02010600030101010101"/>
    <w:charset w:val="50"/>
    <w:family w:val="auto"/>
    <w:pitch w:val="variable"/>
    <w:sig w:usb0="000002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4002EFF" w:usb1="C2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6"/>
      </w:tabs>
      <w:jc w:val="center"/>
    </w:pPr>
    <w:r>
      <mc:AlternateContent>
        <mc:Choice Requires="wps">
          <w:drawing>
            <wp:anchor distT="0" distB="0" distL="114298" distR="114298" simplePos="0" relativeHeight="11" behindDoc="0" locked="0" layoutInCell="1" hidden="0" allowOverlap="1">
              <wp:simplePos x="0" y="0"/>
              <wp:positionH relativeFrom="margin">
                <wp:align>center</wp:align>
              </wp:positionH>
              <wp:positionV relativeFrom="paragraph">
                <wp:posOffset>-88264</wp:posOffset>
              </wp:positionV>
              <wp:extent cx="57150" cy="131445"/>
              <wp:effectExtent l="0" t="0" r="0" b="0"/>
              <wp:wrapNone/>
              <wp:docPr id="1" name="矩形 1"/>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2">
                      <w:txbxContent>
                        <w:p>
                          <w:pPr>
                            <w:pStyle w:val="20"/>
                            <w:tabs>
                              <w:tab w:val="center" w:pos="4153"/>
                              <w:tab w:val="right" w:pos="8306"/>
                            </w:tabs>
                            <w:rPr>
                              <w:rStyle w:val="25"/>
                            </w:rPr>
                          </w:pPr>
                          <w:r>
                            <w:rPr>
                              <w:rStyle w:val="25"/>
                            </w:rPr>
                            <w:fldChar w:fldCharType="begin"/>
                          </w:r>
                          <w:r>
                            <w:rPr>
                              <w:rStyle w:val="25"/>
                            </w:rPr>
                            <w:instrText xml:space="preserve">PAGE  </w:instrText>
                          </w:r>
                          <w:r>
                            <w:fldChar w:fldCharType="separate"/>
                          </w:r>
                          <w:r>
                            <w:rPr>
                              <w:rStyle w:val="25"/>
                            </w:rPr>
                            <w:t>2</w:t>
                          </w:r>
                          <w:r>
                            <w:fldChar w:fldCharType="end"/>
                          </w:r>
                        </w:p>
                      </w:txbxContent>
                    </wps:txbx>
                    <wps:bodyPr vert="horz" wrap="none" lIns="0" tIns="0" rIns="0" bIns="0" anchor="t" anchorCtr="0" upright="1">
                      <a:spAutoFit/>
                    </wps:bodyPr>
                  </wps:wsp>
                </a:graphicData>
              </a:graphic>
            </wp:anchor>
          </w:drawing>
        </mc:Choice>
        <mc:Fallback>
          <w:pict>
            <v:rect type="#_x0000_t1" id="矩形 3" o:spid="_x0000_s3" filled="f" stroked="f" style="position:absolute;margin-left:0.0pt;margin-top:-6.95pt;width:4.5pt;height:10.35pt;z-index:11;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0"/>
                      <w:tabs>
                        <w:tab w:val="center" w:pos="4153"/>
                        <w:tab w:val="right" w:pos="8306"/>
                      </w:tabs>
                      <w:rPr>
                        <w:rStyle w:val="25"/>
                      </w:rPr>
                    </w:pPr>
                    <w:r>
                      <w:rPr>
                        <w:rStyle w:val="25"/>
                      </w:rPr>
                      <w:fldChar w:fldCharType="begin"/>
                    </w:r>
                    <w:r>
                      <w:rPr>
                        <w:rStyle w:val="25"/>
                      </w:rPr>
                      <w:instrText xml:space="preserve">PAGE  </w:instrText>
                    </w:r>
                    <w:r>
                      <w:fldChar w:fldCharType="separate"/>
                    </w:r>
                    <w:r>
                      <w:rPr>
                        <w:rStyle w:val="25"/>
                      </w:rPr>
                      <w:t>2</w:t>
                    </w:r>
                    <w:r>
                      <w:fldChar w:fldCharType="end"/>
                    </w:r>
                  </w:p>
                </w:txbxContent>
              </v:textbox>
            </v:rect>
          </w:pict>
        </mc:Fallback>
      </mc:AlternateContent>
    </w:r>
  </w:p>
  <w:p>
    <w:pPr>
      <w:pStyle w:val="20"/>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6"/>
      </w:tabs>
      <w:rPr>
        <w:rStyle w:val="25"/>
      </w:rPr>
    </w:pPr>
    <w: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4" name="矩形 4"/>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5">
                      <w:txbxContent>
                        <w:p>
                          <w:pPr>
                            <w:pStyle w:val="20"/>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rect type="#_x0000_t1" id="矩形 6" o:spid="_x0000_s6" filled="f" stroked="f" style="position:absolute;margin-left:0.0pt;margin-top:0.0pt;width:4.5pt;height:10.35pt;z-index:12;mso-position-horizontal:center;mso-position-horizontal-relative:margin;mso-position-vertical:absolute;mso-wrap-distance-left:8.999863pt;mso-wrap-distance-right:8.999863pt;mso-wrap-style:none;">
              <v:stroke color="#000000"/>
              <v:textbox id="849" inset="0mm,0mm,0mm,0mm" o:insetmode="custom" style="layout-flow:horizontal;v-text-anchor:top;mso-fit-shape-to-text:t;">
                <w:txbxContent>
                  <w:p>
                    <w:pPr>
                      <w:pStyle w:val="20"/>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p>
    <w:pPr>
      <w:pStyle w:val="20"/>
      <w:tabs>
        <w:tab w:val="center" w:pos="4153"/>
        <w:tab w:val="right" w:pos="8306"/>
      </w:tabs>
      <w:ind w:right="360"/>
      <w:jc w:val="both"/>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4">
    <w:name w:val="heading 4"/>
    <w:basedOn w:val="0"/>
    <w:next w:val="0"/>
    <w:pPr>
      <w:keepNext/>
      <w:keepLines/>
      <w:widowControl/>
      <w:spacing w:before="120" w:after="120" w:line="360" w:lineRule="auto"/>
      <w:jc w:val="center"/>
      <w:outlineLvl w:val="3"/>
    </w:pPr>
    <w:rPr>
      <w:rFonts w:ascii="Arial" w:eastAsia="黑体" w:hAnsi="Arial"/>
      <w:kern w:val="0"/>
      <w:sz w:val="28"/>
      <w:szCs w:val="20"/>
    </w:rPr>
  </w:style>
  <w:style w:type="character" w:default="1" w:styleId="10">
    <w:name w:val="Default Paragraph Font"/>
  </w:style>
  <w:style w:type="paragraph" w:styleId="15">
    <w:name w:val="Document Map"/>
    <w:basedOn w:val="0"/>
    <w:rPr>
      <w:rFonts w:ascii="宋体"/>
      <w:sz w:val="18"/>
      <w:szCs w:val="18"/>
    </w:rPr>
  </w:style>
  <w:style w:type="paragraph" w:styleId="16">
    <w:name w:val="Body Text"/>
    <w:basedOn w:val="0"/>
    <w:pPr>
      <w:spacing w:line="380" w:lineRule="exact"/>
    </w:pPr>
    <w:rPr>
      <w:kern w:val="0"/>
      <w:sz w:val="24"/>
    </w:rPr>
  </w:style>
  <w:style w:type="paragraph" w:styleId="17">
    <w:name w:val="Body Text Indent"/>
    <w:basedOn w:val="0"/>
    <w:pPr>
      <w:spacing w:after="120"/>
      <w:ind w:leftChars="200" w:left="200"/>
    </w:pPr>
  </w:style>
  <w:style w:type="paragraph" w:styleId="18">
    <w:name w:val="Plain Text"/>
    <w:basedOn w:val="0"/>
    <w:next w:val="4"/>
    <w:rPr>
      <w:rFonts w:ascii="宋体"/>
      <w:kern w:val="0"/>
      <w:sz w:val="20"/>
      <w:szCs w:val="21"/>
    </w:r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kern w:val="0"/>
      <w:sz w:val="18"/>
      <w:szCs w:val="18"/>
    </w:rPr>
  </w:style>
  <w:style w:type="paragraph" w:styleId="21">
    <w:name w:val="header"/>
    <w:basedOn w:val="0"/>
    <w:pPr>
      <w:pBdr>
        <w:bottom w:val="single" w:sz="6" w:space="1" w:color="auto"/>
      </w:pBdr>
      <w:tabs>
        <w:tab w:val="center" w:pos="4153"/>
        <w:tab w:val="right" w:pos="8306"/>
      </w:tabs>
      <w:snapToGrid w:val="0"/>
      <w:jc w:val="center"/>
    </w:pPr>
    <w:rPr>
      <w:sz w:val="18"/>
      <w:szCs w:val="18"/>
    </w:rPr>
  </w:style>
  <w:style w:type="paragraph" w:styleId="22">
    <w:name w:val="Title"/>
    <w:basedOn w:val="0"/>
    <w:next w:val="0"/>
    <w:pPr>
      <w:spacing w:before="240" w:after="60"/>
      <w:jc w:val="center"/>
      <w:outlineLvl w:val="0"/>
    </w:pPr>
    <w:rPr>
      <w:rFonts w:ascii="Arial" w:cs="Arial" w:hAnsi="Arial"/>
      <w:b/>
      <w:bCs/>
      <w:sz w:val="32"/>
      <w:szCs w:val="32"/>
    </w:rPr>
  </w:style>
  <w:style w:type="paragraph" w:styleId="23">
    <w:name w:val="Body Text First Indent"/>
    <w:basedOn w:val="16"/>
    <w:next w:val="18"/>
    <w:pPr>
      <w:spacing w:after="120" w:line="240" w:lineRule="auto"/>
      <w:ind w:firstLineChars="100" w:firstLine="100"/>
    </w:pPr>
    <w:rPr>
      <w:kern w:val="2"/>
      <w:sz w:val="21"/>
    </w:rPr>
  </w:style>
  <w:style w:type="paragraph" w:styleId="24">
    <w:name w:val="Body Text First Indent 2"/>
    <w:basedOn w:val="17"/>
    <w:pPr>
      <w:spacing w:after="0"/>
      <w:ind w:leftChars="0" w:left="0" w:firstLineChars="200" w:firstLine="200"/>
    </w:pPr>
    <w:rPr>
      <w:rFonts w:ascii="仿宋_GB2312" w:eastAsia="仿宋_GB2312"/>
      <w:kern w:val="0"/>
      <w:sz w:val="32"/>
      <w:szCs w:val="20"/>
    </w:rPr>
  </w:style>
  <w:style w:type="character" w:styleId="25">
    <w:name w:val="page number"/>
  </w:style>
  <w:style w:type="paragraph" w:customStyle="1" w:styleId="26">
    <w:name w:val="纯文本1"/>
    <w:basedOn w:val="0"/>
    <w:pPr>
      <w:widowControl w:val="0"/>
      <w:suppressAutoHyphens/>
    </w:pPr>
    <w:rPr>
      <w:rFonts w:ascii="宋体" w:cs="Calibri"/>
      <w:sz w:val="20"/>
      <w:szCs w:val="21"/>
      <w:lang w:eastAsia="ar-SA"/>
    </w:rPr>
  </w:style>
  <w:style w:type="paragraph" w:customStyle="1" w:styleId="27">
    <w:name w:val="NERCIS-正文"/>
    <w:basedOn w:val="0"/>
    <w:pPr>
      <w:ind w:firstLineChars="200" w:firstLine="200"/>
    </w:pPr>
    <w:rPr>
      <w:rFonts w:ascii="宋体"/>
      <w:kern w:val="0"/>
      <w:szCs w:val="20"/>
    </w:rPr>
  </w:style>
  <w:style w:type="paragraph" w:customStyle="1" w:styleId="28">
    <w:name w:val="列出段落1"/>
    <w:basedOn w:val="0"/>
    <w:pPr>
      <w:ind w:firstLineChars="200" w:firstLine="200"/>
    </w:pPr>
  </w:style>
  <w:style w:type="paragraph" w:customStyle="1" w:styleId="29">
    <w:name w:val="样式 10 磅"/>
    <w:pPr>
      <w:widowControl w:val="0"/>
      <w:jc w:val="both"/>
    </w:pPr>
    <w:rPr>
      <w:rFonts w:ascii="宋体" w:eastAsia="宋体" w:cs="Times New Roman"/>
      <w:szCs w:val="21"/>
      <w:lang w:val="en-US" w:eastAsia="zh-CN" w:bidi="ar-SA"/>
    </w:rPr>
  </w:style>
  <w:style w:type="paragraph" w:customStyle="1" w:styleId="30">
    <w:name w:val="样式 1 10 磅"/>
    <w:pPr>
      <w:widowControl w:val="0"/>
      <w:jc w:val="both"/>
    </w:pPr>
    <w:rPr>
      <w:rFonts w:ascii="宋体" w:eastAsia="宋体" w:cs="Times New Roman"/>
      <w:szCs w:val="21"/>
      <w:lang w:val="en-US" w:eastAsia="zh-CN" w:bidi="ar-SA"/>
    </w:rPr>
  </w:style>
  <w:style w:type="paragraph" w:customStyle="1" w:styleId="31">
    <w:name w:val="样式 2 10 磅"/>
    <w:pPr>
      <w:widowControl w:val="0"/>
      <w:jc w:val="both"/>
    </w:pPr>
    <w:rPr>
      <w:rFonts w:ascii="宋体" w:eastAsia="宋体" w:cs="Times New Roman"/>
      <w:szCs w:val="21"/>
      <w:lang w:val="en-US" w:eastAsia="zh-CN" w:bidi="ar-SA"/>
    </w:rPr>
  </w:style>
  <w:style w:type="paragraph" w:customStyle="1" w:styleId="32">
    <w:name w:val="样式 3 10 磅"/>
    <w:pPr>
      <w:widowControl w:val="0"/>
      <w:jc w:val="both"/>
    </w:pPr>
    <w:rPr>
      <w:rFonts w:ascii="Calibri" w:eastAsia="宋体" w:cs="Times New Roman" w:hAnsi="Calibri"/>
      <w:kern w:val="2"/>
      <w:sz w:val="21"/>
      <w:szCs w:val="22"/>
      <w:lang w:val="en-US" w:eastAsia="zh-CN" w:bidi="ar-SA"/>
    </w:rPr>
  </w:style>
  <w:style w:type="paragraph" w:customStyle="1" w:styleId="33">
    <w:name w:val="样式 4 10 磅"/>
    <w:pPr>
      <w:widowControl w:val="0"/>
      <w:jc w:val="both"/>
    </w:pPr>
    <w:rPr>
      <w:rFonts w:ascii="Times New Roman" w:eastAsia="宋体" w:cs="Times New Roman" w:hAnsi="Times New Roman"/>
      <w:kern w:val="2"/>
      <w:sz w:val="21"/>
      <w:lang w:val="en-US" w:eastAsia="zh-CN" w:bidi="ar-SA"/>
    </w:rPr>
  </w:style>
  <w:style w:type="paragraph" w:customStyle="1" w:styleId="34">
    <w:name w:val="样式 5 10 磅"/>
    <w:pPr>
      <w:widowControl w:val="0"/>
      <w:jc w:val="both"/>
    </w:pPr>
    <w:rPr>
      <w:rFonts w:ascii="Calibri" w:eastAsia="宋体" w:cs="Times New Roman" w:hAnsi="Calibri"/>
      <w:kern w:val="2"/>
      <w:sz w:val="21"/>
      <w:szCs w:val="22"/>
      <w:lang w:val="en-US" w:eastAsia="zh-CN" w:bidi="ar-SA"/>
    </w:rPr>
  </w:style>
  <w:style w:type="paragraph" w:customStyle="1" w:styleId="35">
    <w:name w:val="样式 6 10 磅"/>
    <w:pPr>
      <w:widowControl w:val="0"/>
      <w:jc w:val="both"/>
    </w:pPr>
    <w:rPr>
      <w:rFonts w:ascii="Calibri" w:eastAsia="宋体" w:cs="Times New Roman" w:hAnsi="Calibri"/>
      <w:kern w:val="2"/>
      <w:sz w:val="21"/>
      <w:szCs w:val="22"/>
      <w:lang w:val="en-US" w:eastAsia="zh-CN" w:bidi="ar-SA"/>
    </w:rPr>
  </w:style>
  <w:style w:type="paragraph" w:customStyle="1" w:styleId="36">
    <w:name w:val="样式 7 10 磅"/>
    <w:pPr>
      <w:widowControl w:val="0"/>
      <w:jc w:val="both"/>
    </w:pPr>
    <w:rPr>
      <w:rFonts w:ascii="Calibri" w:eastAsia="宋体" w:cs="Times New Roman" w:hAnsi="Calibri"/>
      <w:kern w:val="2"/>
      <w:sz w:val="21"/>
      <w:szCs w:val="22"/>
      <w:lang w:val="en-US" w:eastAsia="zh-CN" w:bidi="ar-SA"/>
    </w:rPr>
  </w:style>
  <w:style w:type="paragraph" w:customStyle="1" w:styleId="37">
    <w:name w:val="样式 8 10 磅"/>
    <w:pPr>
      <w:widowControl w:val="0"/>
      <w:jc w:val="both"/>
    </w:pPr>
    <w:rPr>
      <w:rFonts w:ascii="Calibri" w:eastAsia="宋体" w:cs="Times New Roman" w:hAnsi="Calibri"/>
      <w:kern w:val="2"/>
      <w:sz w:val="21"/>
      <w:szCs w:val="22"/>
      <w:lang w:val="en-US" w:eastAsia="zh-CN" w:bidi="ar-SA"/>
    </w:rPr>
  </w:style>
  <w:style w:type="paragraph" w:customStyle="1" w:styleId="38">
    <w:name w:val="样式 9 10 磅"/>
    <w:pPr>
      <w:widowControl w:val="0"/>
      <w:jc w:val="both"/>
    </w:pPr>
    <w:rPr>
      <w:rFonts w:ascii="Calibri" w:eastAsia="宋体" w:cs="Times New Roman" w:hAnsi="Calibri"/>
      <w:kern w:val="2"/>
      <w:sz w:val="21"/>
      <w:szCs w:val="22"/>
      <w:lang w:val="en-US" w:eastAsia="zh-CN" w:bidi="ar-SA"/>
    </w:rPr>
  </w:style>
  <w:style w:type="paragraph" w:customStyle="1" w:styleId="39">
    <w:name w:val="样式 10 10 磅"/>
    <w:pPr>
      <w:widowControl w:val="0"/>
      <w:jc w:val="both"/>
    </w:pPr>
    <w:rPr>
      <w:rFonts w:ascii="Calibri" w:eastAsia="宋体" w:cs="Times New Roman" w:hAnsi="Calibri"/>
      <w:kern w:val="2"/>
      <w:sz w:val="21"/>
      <w:szCs w:val="22"/>
      <w:lang w:val="en-US" w:eastAsia="zh-CN" w:bidi="ar-SA"/>
    </w:rPr>
  </w:style>
  <w:style w:type="paragraph" w:customStyle="1" w:styleId="40">
    <w:name w:val="样式 11 10 磅"/>
    <w:pPr>
      <w:widowControl w:val="0"/>
      <w:jc w:val="both"/>
    </w:pPr>
    <w:rPr>
      <w:rFonts w:ascii="Calibri" w:eastAsia="宋体" w:cs="Times New Roman" w:hAnsi="Calibri"/>
      <w:kern w:val="2"/>
      <w:sz w:val="21"/>
      <w:szCs w:val="22"/>
      <w:lang w:val="en-US" w:eastAsia="zh-CN" w:bidi="ar-SA"/>
    </w:rPr>
  </w:style>
  <w:style w:type="paragraph" w:customStyle="1" w:styleId="41">
    <w:name w:val="样式 12 10 磅"/>
    <w:pPr>
      <w:widowControl w:val="0"/>
      <w:jc w:val="both"/>
    </w:pPr>
    <w:rPr>
      <w:rFonts w:ascii="Calibri" w:eastAsia="宋体" w:cs="Times New Roman" w:hAnsi="Calibri"/>
      <w:kern w:val="2"/>
      <w:sz w:val="21"/>
      <w:szCs w:val="22"/>
      <w:lang w:val="en-US" w:eastAsia="zh-CN" w:bidi="ar-SA"/>
    </w:rPr>
  </w:style>
  <w:style w:type="paragraph" w:customStyle="1" w:styleId="42">
    <w:name w:val="样式 13 10 磅"/>
    <w:pPr>
      <w:widowControl w:val="0"/>
      <w:jc w:val="both"/>
    </w:pPr>
    <w:rPr>
      <w:rFonts w:ascii="Calibri" w:eastAsia="宋体" w:cs="Times New Roman" w:hAnsi="Calibri"/>
      <w:kern w:val="2"/>
      <w:sz w:val="21"/>
      <w:szCs w:val="22"/>
      <w:lang w:val="en-US" w:eastAsia="zh-CN" w:bidi="ar-SA"/>
    </w:rPr>
  </w:style>
  <w:style w:type="paragraph" w:customStyle="1" w:styleId="43">
    <w:name w:val="样式 14 10 磅"/>
    <w:pPr>
      <w:widowControl w:val="0"/>
      <w:jc w:val="both"/>
    </w:pPr>
    <w:rPr>
      <w:rFonts w:ascii="Calibri" w:eastAsia="宋体" w:cs="Times New Roman" w:hAnsi="Calibri"/>
      <w:kern w:val="2"/>
      <w:sz w:val="21"/>
      <w:szCs w:val="22"/>
      <w:lang w:val="en-US" w:eastAsia="zh-CN" w:bidi="ar-SA"/>
    </w:rPr>
  </w:style>
  <w:style w:type="paragraph" w:customStyle="1" w:styleId="44">
    <w:name w:val="样式 15 10 磅"/>
    <w:pPr>
      <w:widowControl w:val="0"/>
      <w:jc w:val="both"/>
    </w:pPr>
    <w:rPr>
      <w:rFonts w:ascii="Calibri" w:eastAsia="宋体" w:cs="Times New Roman" w:hAnsi="Calibri"/>
      <w:kern w:val="2"/>
      <w:sz w:val="21"/>
      <w:szCs w:val="22"/>
      <w:lang w:val="en-US" w:eastAsia="zh-CN" w:bidi="ar-SA"/>
    </w:rPr>
  </w:style>
  <w:style w:type="paragraph" w:customStyle="1" w:styleId="45">
    <w:name w:val="样式 16 10 磅"/>
    <w:pPr>
      <w:widowControl w:val="0"/>
      <w:jc w:val="both"/>
    </w:pPr>
    <w:rPr>
      <w:rFonts w:ascii="Calibri" w:eastAsia="宋体" w:cs="Times New Roman" w:hAnsi="Calibri"/>
      <w:kern w:val="2"/>
      <w:sz w:val="21"/>
      <w:szCs w:val="22"/>
      <w:lang w:val="en-US" w:eastAsia="zh-CN" w:bidi="ar-SA"/>
    </w:rPr>
  </w:style>
  <w:style w:type="paragraph" w:customStyle="1" w:styleId="46">
    <w:name w:val="样式 17 10 磅"/>
    <w:pPr>
      <w:widowControl w:val="0"/>
      <w:jc w:val="both"/>
    </w:pPr>
    <w:rPr>
      <w:rFonts w:ascii="Calibri" w:eastAsia="宋体" w:cs="Times New Roman" w:hAnsi="Calibri"/>
      <w:kern w:val="2"/>
      <w:sz w:val="21"/>
      <w:szCs w:val="22"/>
      <w:lang w:val="en-US" w:eastAsia="zh-CN" w:bidi="ar-SA"/>
    </w:rPr>
  </w:style>
  <w:style w:type="paragraph" w:customStyle="1" w:styleId="47">
    <w:name w:val="样式 18 10 磅"/>
    <w:pPr>
      <w:widowControl w:val="0"/>
      <w:jc w:val="both"/>
    </w:pPr>
    <w:rPr>
      <w:rFonts w:ascii="Calibri" w:eastAsia="宋体" w:cs="Times New Roman" w:hAnsi="Calibri"/>
      <w:kern w:val="2"/>
      <w:sz w:val="21"/>
      <w:szCs w:val="22"/>
      <w:lang w:val="en-US" w:eastAsia="zh-CN" w:bidi="ar-SA"/>
    </w:rPr>
  </w:style>
  <w:style w:type="paragraph" w:customStyle="1" w:styleId="48">
    <w:name w:val="样式 19 10 磅"/>
    <w:pPr>
      <w:widowControl w:val="0"/>
      <w:jc w:val="both"/>
    </w:pPr>
    <w:rPr>
      <w:rFonts w:ascii="Calibri" w:eastAsia="宋体" w:cs="Times New Roman" w:hAnsi="Calibri"/>
      <w:kern w:val="2"/>
      <w:sz w:val="21"/>
      <w:szCs w:val="22"/>
      <w:lang w:val="en-US" w:eastAsia="zh-CN" w:bidi="ar-SA"/>
    </w:rPr>
  </w:style>
  <w:style w:type="paragraph" w:customStyle="1" w:styleId="49">
    <w:name w:val="样式 20 10 磅"/>
    <w:pPr>
      <w:widowControl w:val="0"/>
      <w:jc w:val="both"/>
    </w:pPr>
    <w:rPr>
      <w:rFonts w:ascii="Calibri" w:eastAsia="宋体" w:cs="Times New Roman" w:hAnsi="Calibri"/>
      <w:kern w:val="2"/>
      <w:sz w:val="21"/>
      <w:szCs w:val="22"/>
      <w:lang w:val="en-US" w:eastAsia="zh-CN" w:bidi="ar-SA"/>
    </w:rPr>
  </w:style>
  <w:style w:type="paragraph" w:customStyle="1" w:styleId="50">
    <w:name w:val="样式 21 10 磅"/>
    <w:pPr>
      <w:widowControl w:val="0"/>
      <w:jc w:val="both"/>
    </w:pPr>
    <w:rPr>
      <w:rFonts w:ascii="Calibri" w:eastAsia="宋体" w:cs="Times New Roman" w:hAnsi="Calibri"/>
      <w:kern w:val="2"/>
      <w:sz w:val="21"/>
      <w:szCs w:val="22"/>
      <w:lang w:val="en-US" w:eastAsia="zh-CN" w:bidi="ar-SA"/>
    </w:rPr>
  </w:style>
  <w:style w:type="paragraph" w:customStyle="1" w:styleId="51">
    <w:name w:val="样式 22 10 磅"/>
    <w:pPr>
      <w:widowControl w:val="0"/>
      <w:jc w:val="both"/>
    </w:pPr>
    <w:rPr>
      <w:rFonts w:ascii="Calibri" w:eastAsia="宋体" w:cs="Times New Roman" w:hAnsi="Calibri"/>
      <w:kern w:val="2"/>
      <w:sz w:val="21"/>
      <w:szCs w:val="22"/>
      <w:lang w:val="en-US" w:eastAsia="zh-CN" w:bidi="ar-SA"/>
    </w:rPr>
  </w:style>
  <w:style w:type="paragraph" w:customStyle="1" w:styleId="52">
    <w:name w:val="样式 23 10 磅"/>
    <w:pPr>
      <w:widowControl w:val="0"/>
      <w:jc w:val="both"/>
    </w:pPr>
    <w:rPr>
      <w:rFonts w:ascii="Calibri" w:eastAsia="宋体" w:cs="Times New Roman" w:hAnsi="Calibri"/>
      <w:kern w:val="2"/>
      <w:sz w:val="21"/>
      <w:szCs w:val="22"/>
      <w:lang w:val="en-US" w:eastAsia="zh-CN" w:bidi="ar-SA"/>
    </w:rPr>
  </w:style>
  <w:style w:type="paragraph" w:customStyle="1" w:styleId="53">
    <w:name w:val="样式 24 10 磅"/>
    <w:pPr>
      <w:widowControl w:val="0"/>
      <w:jc w:val="both"/>
    </w:pPr>
    <w:rPr>
      <w:rFonts w:ascii="Calibri" w:eastAsia="宋体" w:cs="Times New Roman" w:hAnsi="Calibri"/>
      <w:kern w:val="2"/>
      <w:sz w:val="21"/>
      <w:szCs w:val="22"/>
      <w:lang w:val="en-US" w:eastAsia="zh-CN" w:bidi="ar-SA"/>
    </w:rPr>
  </w:style>
  <w:style w:type="paragraph" w:customStyle="1" w:styleId="54">
    <w:name w:val="样式 25 10 磅"/>
    <w:pPr>
      <w:widowControl w:val="0"/>
      <w:jc w:val="both"/>
    </w:pPr>
    <w:rPr>
      <w:rFonts w:ascii="Calibri" w:eastAsia="宋体" w:cs="Times New Roman" w:hAnsi="Calibri"/>
      <w:kern w:val="2"/>
      <w:sz w:val="21"/>
      <w:szCs w:val="22"/>
      <w:lang w:val="en-US" w:eastAsia="zh-CN" w:bidi="ar-SA"/>
    </w:rPr>
  </w:style>
  <w:style w:type="paragraph" w:customStyle="1" w:styleId="55">
    <w:name w:val="样式 26 10 磅"/>
    <w:pPr>
      <w:widowControl w:val="0"/>
      <w:jc w:val="both"/>
    </w:pPr>
    <w:rPr>
      <w:rFonts w:ascii="Calibri" w:eastAsia="宋体" w:cs="Times New Roman" w:hAnsi="Calibri"/>
      <w:kern w:val="2"/>
      <w:sz w:val="21"/>
      <w:szCs w:val="22"/>
      <w:lang w:val="en-US" w:eastAsia="zh-CN" w:bidi="ar-SA"/>
    </w:rPr>
  </w:style>
  <w:style w:type="paragraph" w:customStyle="1" w:styleId="56">
    <w:name w:val="样式 27 10 磅"/>
    <w:pPr>
      <w:widowControl w:val="0"/>
      <w:jc w:val="both"/>
    </w:pPr>
    <w:rPr>
      <w:rFonts w:ascii="Calibri" w:eastAsia="宋体" w:cs="Times New Roman" w:hAnsi="Calibri"/>
      <w:kern w:val="2"/>
      <w:sz w:val="21"/>
      <w:szCs w:val="22"/>
      <w:lang w:val="en-US" w:eastAsia="zh-CN" w:bidi="ar-SA"/>
    </w:rPr>
  </w:style>
  <w:style w:type="paragraph" w:customStyle="1" w:styleId="57">
    <w:name w:val="样式 28 10 磅"/>
    <w:pPr>
      <w:widowControl w:val="0"/>
      <w:jc w:val="both"/>
    </w:pPr>
    <w:rPr>
      <w:rFonts w:ascii="Calibri" w:eastAsia="宋体" w:cs="Times New Roman" w:hAnsi="Calibri"/>
      <w:kern w:val="2"/>
      <w:sz w:val="21"/>
      <w:szCs w:val="22"/>
      <w:lang w:val="en-US" w:eastAsia="zh-CN" w:bidi="ar-SA"/>
    </w:rPr>
  </w:style>
  <w:style w:type="paragraph" w:customStyle="1" w:styleId="58">
    <w:name w:val="样式 29 10 磅"/>
    <w:pPr>
      <w:widowControl w:val="0"/>
      <w:jc w:val="both"/>
    </w:pPr>
    <w:rPr>
      <w:rFonts w:ascii="Times New Roman" w:eastAsia="宋体" w:cs="Times New Roman" w:hAnsi="Times New Roman"/>
      <w:kern w:val="2"/>
      <w:sz w:val="21"/>
      <w:lang w:val="en-US" w:eastAsia="zh-CN" w:bidi="ar-SA"/>
    </w:rPr>
  </w:style>
  <w:style w:type="paragraph" w:customStyle="1" w:styleId="59">
    <w:name w:val="样式 30 10 磅"/>
    <w:pPr>
      <w:widowControl w:val="0"/>
      <w:jc w:val="both"/>
    </w:pPr>
    <w:rPr>
      <w:rFonts w:ascii="Calibri" w:eastAsia="宋体" w:cs="Times New Roman" w:hAnsi="Calibri"/>
      <w:kern w:val="2"/>
      <w:sz w:val="21"/>
      <w:szCs w:val="22"/>
      <w:lang w:val="en-US" w:eastAsia="zh-CN" w:bidi="ar-SA"/>
    </w:rPr>
  </w:style>
  <w:style w:type="paragraph" w:customStyle="1" w:styleId="60">
    <w:name w:val="样式 31 10 磅"/>
    <w:pPr>
      <w:widowControl w:val="0"/>
      <w:jc w:val="both"/>
    </w:pPr>
    <w:rPr>
      <w:rFonts w:ascii="Calibri" w:eastAsia="宋体" w:cs="Times New Roman" w:hAnsi="Calibri"/>
      <w:kern w:val="2"/>
      <w:sz w:val="21"/>
      <w:szCs w:val="22"/>
      <w:lang w:val="en-US" w:eastAsia="zh-CN" w:bidi="ar-SA"/>
    </w:rPr>
  </w:style>
  <w:style w:type="paragraph" w:customStyle="1" w:styleId="61">
    <w:name w:val="样式 32 10 磅"/>
    <w:pPr>
      <w:widowControl w:val="0"/>
      <w:jc w:val="both"/>
    </w:pPr>
    <w:rPr>
      <w:rFonts w:ascii="Calibri" w:eastAsia="宋体" w:cs="Times New Roman" w:hAnsi="Calibri"/>
      <w:kern w:val="2"/>
      <w:sz w:val="21"/>
      <w:szCs w:val="22"/>
      <w:lang w:val="en-US" w:eastAsia="zh-CN" w:bidi="ar-SA"/>
    </w:rPr>
  </w:style>
  <w:style w:type="paragraph" w:customStyle="1" w:styleId="62">
    <w:name w:val="样式 33 10 磅"/>
    <w:pPr>
      <w:widowControl w:val="0"/>
      <w:jc w:val="both"/>
    </w:pPr>
    <w:rPr>
      <w:rFonts w:ascii="Calibri" w:eastAsia="宋体" w:cs="Times New Roman" w:hAnsi="Calibri"/>
      <w:kern w:val="2"/>
      <w:sz w:val="21"/>
      <w:szCs w:val="22"/>
      <w:lang w:val="en-US" w:eastAsia="zh-CN" w:bidi="ar-SA"/>
    </w:rPr>
  </w:style>
  <w:style w:type="paragraph" w:customStyle="1" w:styleId="63">
    <w:name w:val="样式 34 10 磅"/>
    <w:pPr>
      <w:widowControl w:val="0"/>
      <w:jc w:val="both"/>
    </w:pPr>
    <w:rPr>
      <w:rFonts w:ascii="Calibri" w:eastAsia="宋体" w:cs="Times New Roman" w:hAnsi="Calibri"/>
      <w:kern w:val="2"/>
      <w:sz w:val="21"/>
      <w:szCs w:val="22"/>
      <w:lang w:val="en-US" w:eastAsia="zh-CN" w:bidi="ar-SA"/>
    </w:rPr>
  </w:style>
  <w:style w:type="paragraph" w:customStyle="1" w:styleId="64">
    <w:name w:val="样式 35 10 磅"/>
    <w:pPr>
      <w:widowControl w:val="0"/>
      <w:jc w:val="both"/>
    </w:pPr>
    <w:rPr>
      <w:rFonts w:ascii="Calibri" w:eastAsia="宋体" w:cs="Times New Roman" w:hAnsi="Calibri"/>
      <w:kern w:val="2"/>
      <w:sz w:val="21"/>
      <w:szCs w:val="22"/>
      <w:lang w:val="en-US" w:eastAsia="zh-CN" w:bidi="ar-SA"/>
    </w:rPr>
  </w:style>
  <w:style w:type="paragraph" w:customStyle="1" w:styleId="65">
    <w:name w:val="样式 36 10 磅"/>
    <w:pPr>
      <w:widowControl w:val="0"/>
      <w:jc w:val="both"/>
    </w:pPr>
    <w:rPr>
      <w:rFonts w:ascii="Calibri" w:eastAsia="宋体" w:cs="Times New Roman" w:hAnsi="Calibri"/>
      <w:kern w:val="2"/>
      <w:sz w:val="21"/>
      <w:szCs w:val="22"/>
      <w:lang w:val="en-US" w:eastAsia="zh-CN" w:bidi="ar-SA"/>
    </w:rPr>
  </w:style>
  <w:style w:type="paragraph" w:customStyle="1" w:styleId="66">
    <w:name w:val="样式 37 10 磅"/>
    <w:pPr>
      <w:widowControl w:val="0"/>
      <w:jc w:val="both"/>
    </w:pPr>
    <w:rPr>
      <w:rFonts w:ascii="Calibri" w:eastAsia="宋体" w:cs="Times New Roman" w:hAnsi="Calibri"/>
      <w:kern w:val="2"/>
      <w:sz w:val="21"/>
      <w:szCs w:val="22"/>
      <w:lang w:val="en-US" w:eastAsia="zh-CN" w:bidi="ar-SA"/>
    </w:rPr>
  </w:style>
  <w:style w:type="paragraph" w:customStyle="1" w:styleId="67">
    <w:name w:val="样式 38 10 磅"/>
    <w:pPr>
      <w:widowControl w:val="0"/>
      <w:jc w:val="both"/>
    </w:pPr>
    <w:rPr>
      <w:rFonts w:ascii="Calibri" w:eastAsia="宋体" w:cs="Times New Roman" w:hAnsi="Calibri"/>
      <w:kern w:val="2"/>
      <w:sz w:val="21"/>
      <w:szCs w:val="22"/>
      <w:lang w:val="en-US" w:eastAsia="zh-CN" w:bidi="ar-SA"/>
    </w:rPr>
  </w:style>
  <w:style w:type="paragraph" w:customStyle="1" w:styleId="68">
    <w:name w:val="样式 39 10 磅"/>
    <w:pPr>
      <w:widowControl w:val="0"/>
      <w:jc w:val="both"/>
    </w:pPr>
    <w:rPr>
      <w:rFonts w:ascii="Calibri" w:eastAsia="宋体" w:cs="Times New Roman" w:hAnsi="Calibri"/>
      <w:kern w:val="2"/>
      <w:sz w:val="21"/>
      <w:szCs w:val="22"/>
      <w:lang w:val="en-US" w:eastAsia="zh-CN" w:bidi="ar-SA"/>
    </w:rPr>
  </w:style>
  <w:style w:type="paragraph" w:customStyle="1" w:styleId="69">
    <w:name w:val="样式 40 10 磅"/>
    <w:pPr>
      <w:widowControl w:val="0"/>
      <w:jc w:val="both"/>
    </w:pPr>
    <w:rPr>
      <w:rFonts w:ascii="Calibri" w:eastAsia="宋体" w:cs="Times New Roman" w:hAnsi="Calibri"/>
      <w:kern w:val="2"/>
      <w:sz w:val="21"/>
      <w:szCs w:val="22"/>
      <w:lang w:val="en-US" w:eastAsia="zh-CN" w:bidi="ar-SA"/>
    </w:rPr>
  </w:style>
  <w:style w:type="paragraph" w:customStyle="1" w:styleId="70">
    <w:name w:val="样式 41 10 磅"/>
    <w:pPr>
      <w:widowControl w:val="0"/>
      <w:jc w:val="both"/>
    </w:pPr>
    <w:rPr>
      <w:rFonts w:ascii="Calibri" w:eastAsia="宋体" w:cs="Times New Roman" w:hAnsi="Calibri"/>
      <w:kern w:val="2"/>
      <w:sz w:val="21"/>
      <w:szCs w:val="22"/>
      <w:lang w:val="en-US" w:eastAsia="zh-CN" w:bidi="ar-SA"/>
    </w:rPr>
  </w:style>
  <w:style w:type="paragraph" w:customStyle="1" w:styleId="168">
    <w:name w:val="样式 4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33</TotalTime>
  <Application>Yozo_Office</Application>
  <Pages>4</Pages>
  <Words>2942</Words>
  <Characters>3075</Characters>
  <Lines>174</Lines>
  <Paragraphs>100</Paragraphs>
  <CharactersWithSpaces>3076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AutoBVT</dc:creator>
  <cp:lastModifiedBy>Microsoft</cp:lastModifiedBy>
  <cp:revision>86</cp:revision>
  <dcterms:created xsi:type="dcterms:W3CDTF">2024-03-01T04:06:00Z</dcterms:created>
  <dcterms:modified xsi:type="dcterms:W3CDTF">2026-07-24T06:26:57Z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eyJoZGlkIjoiYzFlMzU0MjMyMjFlZjRiYTk5YzAyMDA2ZmZlNTQ1N2IiLCJ1c2VySWQiOiI0MTM3MjU4ODgifQ==</vt:lpwstr>
  </property>
  <property fmtid="{D5CDD505-2E9C-101B-9397-08002B2CF9AE}" pid="3" name="KSOProductBuildVer">
    <vt:lpwstr>2052-12.1.0.26895</vt:lpwstr>
  </property>
  <property fmtid="{D5CDD505-2E9C-101B-9397-08002B2CF9AE}" pid="4" name="ICV">
    <vt:lpwstr>08550794283B403FBD509947B7D378DD_12</vt:lpwstr>
  </property>
</Properties>
</file>