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rPr>
          <w:rFonts w:ascii="方正黑体_GBK" w:eastAsia="方正黑体_GBK" w:cs="方正黑体_GBK"/>
          <w:sz w:val="32"/>
          <w:szCs w:val="32"/>
        </w:rPr>
      </w:pPr>
      <w:bookmarkStart w:id="0" w:name="_GoBack"/>
      <w:bookmarkEnd w:id="0"/>
      <w:r>
        <w:rPr>
          <w:rFonts w:ascii="方正黑体_GBK" w:eastAsia="方正黑体_GBK" w:cs="方正黑体_GBK" w:hint="eastAsia"/>
          <w:sz w:val="32"/>
          <w:szCs w:val="32"/>
        </w:rPr>
        <w:t>附件3</w:t>
      </w:r>
    </w:p>
    <w:p>
      <w:pPr>
        <w:spacing w:line="560" w:lineRule="exact"/>
        <w:rPr>
          <w:rFonts w:ascii="方正黑体_GBK" w:eastAsia="方正黑体_GBK" w:cs="方正黑体_GBK"/>
          <w:sz w:val="32"/>
          <w:szCs w:val="32"/>
        </w:rPr>
      </w:pPr>
    </w:p>
    <w:p>
      <w:pPr>
        <w:spacing w:line="560" w:lineRule="exact"/>
        <w:jc w:val="center"/>
        <w:rPr>
          <w:rFonts w:ascii="方正小标宋简体" w:eastAsia="方正小标宋简体" w:cs="方正小标宋简体"/>
          <w:bCs/>
          <w:sz w:val="44"/>
          <w:szCs w:val="44"/>
        </w:rPr>
      </w:pPr>
      <w:r>
        <w:rPr>
          <w:rFonts w:ascii="方正小标宋简体" w:eastAsia="方正小标宋简体" w:cs="方正小标宋简体" w:hint="eastAsia"/>
          <w:bCs/>
          <w:sz w:val="44"/>
          <w:szCs w:val="44"/>
        </w:rPr>
        <w:t>评审办法</w:t>
      </w:r>
    </w:p>
    <w:p>
      <w:pPr>
        <w:spacing w:line="560" w:lineRule="exact"/>
        <w:jc w:val="center"/>
        <w:rPr>
          <w:rFonts w:ascii="方正小标宋简体" w:eastAsia="方正小标宋简体" w:cs="方正小标宋简体"/>
          <w:bCs/>
          <w:sz w:val="28"/>
          <w:szCs w:val="28"/>
        </w:rPr>
      </w:pPr>
      <w:r>
        <w:rPr>
          <w:rFonts w:ascii="方正小标宋简体" w:eastAsia="方正小标宋简体" w:cs="方正小标宋简体" w:hint="eastAsia"/>
          <w:bCs/>
          <w:sz w:val="28"/>
          <w:szCs w:val="28"/>
        </w:rPr>
        <w:t>（综合评分法）</w:t>
      </w:r>
    </w:p>
    <w:p>
      <w:pPr>
        <w:spacing w:line="560" w:lineRule="exact"/>
        <w:ind w:firstLineChars="200" w:firstLine="640"/>
        <w:rPr>
          <w:rFonts w:eastAsia="方正黑体_GBK"/>
          <w:sz w:val="32"/>
          <w:szCs w:val="32"/>
        </w:rPr>
      </w:pPr>
      <w:r>
        <w:rPr>
          <w:rFonts w:eastAsia="方正黑体_GBK"/>
          <w:sz w:val="32"/>
          <w:szCs w:val="32"/>
        </w:rPr>
        <w:t>一、形式评审</w:t>
      </w:r>
    </w:p>
    <w:p>
      <w:pPr>
        <w:spacing w:line="560" w:lineRule="exact"/>
        <w:ind w:firstLineChars="200" w:firstLine="640"/>
        <w:rPr>
          <w:rFonts w:ascii="方正楷体_GBK" w:eastAsia="方正楷体_GBK"/>
          <w:b/>
          <w:sz w:val="32"/>
          <w:szCs w:val="32"/>
        </w:rPr>
      </w:pPr>
      <w:r>
        <w:rPr>
          <w:rFonts w:ascii="方正楷体_GBK" w:eastAsia="方正楷体_GBK"/>
          <w:b/>
          <w:sz w:val="32"/>
          <w:szCs w:val="32"/>
        </w:rPr>
        <w:t>（一）</w:t>
      </w:r>
      <w:r>
        <w:rPr>
          <w:rFonts w:ascii="方正楷体_GBK" w:eastAsia="方正楷体_GBK" w:hint="eastAsia"/>
          <w:b/>
          <w:sz w:val="32"/>
          <w:szCs w:val="32"/>
        </w:rPr>
        <w:t>查看报价文件送达时间：</w:t>
      </w:r>
    </w:p>
    <w:p>
      <w:pPr>
        <w:spacing w:line="560" w:lineRule="exact"/>
        <w:ind w:firstLineChars="200" w:firstLine="640"/>
        <w:rPr>
          <w:rFonts w:eastAsia="方正仿宋_GBK"/>
          <w:sz w:val="32"/>
          <w:szCs w:val="32"/>
        </w:rPr>
      </w:pPr>
      <w:r>
        <w:rPr>
          <w:rFonts w:eastAsia="方正仿宋_GBK" w:hint="eastAsia"/>
          <w:sz w:val="32"/>
          <w:szCs w:val="32"/>
        </w:rPr>
        <w:t>1.在《采购公告》规定的</w:t>
      </w:r>
      <w:r>
        <w:rPr>
          <w:rFonts w:eastAsia="方正仿宋_GBK"/>
          <w:sz w:val="32"/>
          <w:szCs w:val="32"/>
        </w:rPr>
        <w:t>报价截止时间之前将报价文件送达</w:t>
      </w:r>
      <w:r>
        <w:rPr>
          <w:rFonts w:eastAsia="方正仿宋_GBK" w:hint="eastAsia"/>
          <w:sz w:val="32"/>
          <w:szCs w:val="32"/>
        </w:rPr>
        <w:t>；</w:t>
      </w:r>
    </w:p>
    <w:p>
      <w:pPr>
        <w:spacing w:line="560" w:lineRule="exact"/>
        <w:ind w:left="640"/>
        <w:rPr>
          <w:rFonts w:ascii="方正楷体_GBK" w:eastAsia="方正楷体_GBK"/>
          <w:b/>
          <w:sz w:val="32"/>
          <w:szCs w:val="32"/>
        </w:rPr>
      </w:pPr>
      <w:r>
        <w:rPr>
          <w:rFonts w:ascii="方正楷体_GBK" w:eastAsia="方正楷体_GBK" w:hint="eastAsia"/>
          <w:b/>
          <w:sz w:val="32"/>
          <w:szCs w:val="32"/>
        </w:rPr>
        <w:t>（二）</w:t>
      </w:r>
      <w:r>
        <w:rPr>
          <w:rFonts w:ascii="方正楷体_GBK" w:eastAsia="方正楷体_GBK"/>
          <w:b/>
          <w:sz w:val="32"/>
          <w:szCs w:val="32"/>
        </w:rPr>
        <w:t>报价文件组成：</w:t>
      </w:r>
    </w:p>
    <w:p>
      <w:pPr>
        <w:spacing w:line="560" w:lineRule="exact"/>
        <w:ind w:firstLineChars="200" w:firstLine="640"/>
        <w:rPr>
          <w:rFonts w:eastAsia="方正仿宋_GBK"/>
          <w:sz w:val="32"/>
          <w:szCs w:val="32"/>
        </w:rPr>
      </w:pPr>
      <w:r>
        <w:rPr>
          <w:rFonts w:eastAsia="方正仿宋_GBK"/>
          <w:sz w:val="32"/>
          <w:szCs w:val="32"/>
        </w:rPr>
        <w:t>1.报价函（附件1，必须提供）</w:t>
      </w:r>
    </w:p>
    <w:p>
      <w:pPr>
        <w:spacing w:line="560" w:lineRule="exact"/>
        <w:ind w:firstLineChars="200" w:firstLine="640"/>
        <w:rPr>
          <w:rFonts w:eastAsia="方正仿宋_GBK"/>
          <w:sz w:val="32"/>
          <w:szCs w:val="32"/>
        </w:rPr>
      </w:pPr>
      <w:r>
        <w:rPr>
          <w:rFonts w:eastAsia="方正仿宋_GBK"/>
          <w:sz w:val="32"/>
          <w:szCs w:val="32"/>
        </w:rPr>
        <w:t>2.报价明细表（附件2，必须提供）</w:t>
      </w:r>
    </w:p>
    <w:p>
      <w:pPr>
        <w:spacing w:line="560" w:lineRule="exact"/>
        <w:ind w:firstLineChars="200" w:firstLine="640"/>
        <w:rPr>
          <w:rFonts w:eastAsia="方正仿宋_GBK"/>
          <w:sz w:val="32"/>
          <w:szCs w:val="32"/>
        </w:rPr>
      </w:pPr>
      <w:r>
        <w:rPr>
          <w:rFonts w:eastAsia="方正仿宋_GBK"/>
          <w:sz w:val="32"/>
          <w:szCs w:val="32"/>
        </w:rPr>
        <w:t>3.声明（附件3，必须提供）</w:t>
      </w:r>
    </w:p>
    <w:p>
      <w:pPr>
        <w:spacing w:line="560" w:lineRule="exact"/>
        <w:ind w:firstLineChars="200" w:firstLine="640"/>
        <w:rPr>
          <w:rFonts w:eastAsia="方正仿宋_GBK"/>
          <w:sz w:val="32"/>
          <w:szCs w:val="32"/>
        </w:rPr>
      </w:pPr>
      <w:r>
        <w:rPr>
          <w:rFonts w:eastAsia="方正仿宋_GBK"/>
          <w:sz w:val="32"/>
          <w:szCs w:val="32"/>
        </w:rPr>
        <w:t>4.</w:t>
      </w:r>
      <w:r>
        <w:rPr>
          <w:rFonts w:ascii="方正仿宋_GBK" w:eastAsia="方正仿宋_GBK" w:cs="方正仿宋_GBK" w:hint="eastAsia"/>
          <w:sz w:val="32"/>
          <w:szCs w:val="32"/>
        </w:rPr>
        <w:t>“信用中国”</w:t>
      </w:r>
      <w:r>
        <w:rPr>
          <w:rFonts w:eastAsia="方正仿宋_GBK"/>
          <w:sz w:val="32"/>
          <w:szCs w:val="32"/>
        </w:rPr>
        <w:t>（www.creditchina.gov.cn）信用报告及中国政府采购网（www.ccgp.gov.cn）政府采购严重违法失信行为信息记录截图纸质版加盖公章（必须提供）</w:t>
      </w:r>
    </w:p>
    <w:p>
      <w:pPr>
        <w:spacing w:line="560" w:lineRule="exact"/>
        <w:ind w:firstLineChars="200" w:firstLine="640"/>
        <w:rPr>
          <w:rFonts w:eastAsia="方正仿宋_GBK"/>
          <w:sz w:val="32"/>
          <w:szCs w:val="32"/>
        </w:rPr>
      </w:pPr>
      <w:r>
        <w:rPr>
          <w:rFonts w:eastAsia="方正仿宋_GBK"/>
          <w:sz w:val="32"/>
          <w:szCs w:val="32"/>
        </w:rPr>
        <w:t>5.</w:t>
      </w:r>
      <w:r>
        <w:rPr>
          <w:rFonts w:eastAsia="方正仿宋_GBK" w:hint="eastAsia"/>
          <w:sz w:val="32"/>
          <w:szCs w:val="32"/>
        </w:rPr>
        <w:t>有效的营业执照副本复印件（必须提供）</w:t>
      </w:r>
    </w:p>
    <w:p>
      <w:pPr>
        <w:spacing w:line="560" w:lineRule="exact"/>
        <w:ind w:firstLineChars="200" w:firstLine="640"/>
        <w:rPr>
          <w:rFonts w:eastAsia="方正仿宋_GBK"/>
          <w:sz w:val="32"/>
          <w:szCs w:val="32"/>
        </w:rPr>
      </w:pPr>
      <w:r>
        <w:rPr>
          <w:rFonts w:eastAsia="方正仿宋_GBK"/>
          <w:sz w:val="32"/>
          <w:szCs w:val="32"/>
        </w:rPr>
        <w:t>6.</w:t>
      </w:r>
      <w:r>
        <w:rPr>
          <w:rFonts w:eastAsia="方正仿宋_GBK" w:hint="eastAsia"/>
          <w:sz w:val="32"/>
          <w:szCs w:val="32"/>
        </w:rPr>
        <w:t>供应商的法定代表人身份证正反面复印件（必须提供）</w:t>
      </w:r>
    </w:p>
    <w:p>
      <w:pPr>
        <w:spacing w:line="560" w:lineRule="exact"/>
        <w:ind w:firstLineChars="200" w:firstLine="640"/>
        <w:rPr>
          <w:rFonts w:eastAsia="方正仿宋_GBK"/>
          <w:sz w:val="32"/>
          <w:szCs w:val="32"/>
        </w:rPr>
      </w:pPr>
      <w:r>
        <w:rPr>
          <w:rFonts w:eastAsia="方正仿宋_GBK"/>
          <w:sz w:val="32"/>
          <w:szCs w:val="32"/>
        </w:rPr>
        <w:t>7.</w:t>
      </w:r>
      <w:r>
        <w:rPr>
          <w:rFonts w:eastAsia="方正仿宋_GBK" w:hint="eastAsia"/>
          <w:sz w:val="32"/>
          <w:szCs w:val="32"/>
        </w:rPr>
        <w:t>供应商的法人授权委托书、委托代理人身份证正反面复印件（委托代理时必须提供，同时要加盖单位公章，否则被认定为资格审查不合格而报价无效，附件</w:t>
      </w:r>
      <w:r>
        <w:rPr>
          <w:rFonts w:eastAsia="方正仿宋_GBK"/>
          <w:sz w:val="32"/>
          <w:szCs w:val="32"/>
        </w:rPr>
        <w:t>2</w:t>
      </w:r>
      <w:r>
        <w:rPr>
          <w:rFonts w:eastAsia="方正仿宋_GBK" w:hint="eastAsia"/>
          <w:sz w:val="32"/>
          <w:szCs w:val="32"/>
        </w:rPr>
        <w:t>）</w:t>
      </w:r>
    </w:p>
    <w:p>
      <w:pPr>
        <w:autoSpaceDN w:val="0"/>
        <w:spacing w:line="560" w:lineRule="exact"/>
        <w:ind w:leftChars="135" w:left="284" w:firstLineChars="100" w:firstLine="320"/>
        <w:rPr>
          <w:rFonts w:eastAsia="方正仿宋_GBK"/>
          <w:sz w:val="32"/>
          <w:szCs w:val="32"/>
        </w:rPr>
      </w:pPr>
      <w:r>
        <w:rPr>
          <w:rFonts w:eastAsia="方正仿宋_GBK"/>
          <w:sz w:val="32"/>
          <w:szCs w:val="32"/>
        </w:rPr>
        <w:t>8.</w:t>
      </w:r>
      <w:r>
        <w:rPr>
          <w:rFonts w:eastAsia="方正仿宋_GBK" w:hint="eastAsia"/>
          <w:sz w:val="32"/>
          <w:szCs w:val="32"/>
        </w:rPr>
        <w:t xml:space="preserve"> 供应商基本情况介绍</w:t>
      </w:r>
    </w:p>
    <w:p>
      <w:pPr>
        <w:autoSpaceDN w:val="0"/>
        <w:spacing w:line="560" w:lineRule="exact"/>
        <w:ind w:leftChars="135" w:left="284" w:firstLineChars="100" w:firstLine="320"/>
        <w:rPr>
          <w:rFonts w:eastAsia="方正仿宋_GBK"/>
          <w:sz w:val="32"/>
          <w:szCs w:val="32"/>
        </w:rPr>
      </w:pPr>
      <w:r>
        <w:rPr>
          <w:rFonts w:eastAsia="方正仿宋_GBK"/>
          <w:sz w:val="32"/>
          <w:szCs w:val="32"/>
        </w:rPr>
        <w:t>9. 设计建设方案（必须提供）</w:t>
      </w:r>
    </w:p>
    <w:p>
      <w:pPr>
        <w:autoSpaceDN w:val="0"/>
        <w:spacing w:line="560" w:lineRule="exact"/>
        <w:ind w:leftChars="135" w:left="284" w:firstLineChars="100" w:firstLine="320"/>
        <w:rPr>
          <w:rFonts w:eastAsia="方正仿宋_GBK"/>
          <w:sz w:val="32"/>
          <w:szCs w:val="32"/>
        </w:rPr>
      </w:pPr>
      <w:r>
        <w:rPr>
          <w:rFonts w:eastAsia="方正仿宋_GBK"/>
          <w:sz w:val="32"/>
          <w:szCs w:val="32"/>
        </w:rPr>
        <w:t>10.</w:t>
      </w:r>
      <w:r>
        <w:rPr>
          <w:rFonts w:ascii="宋体" w:hint="eastAsia"/>
          <w:sz w:val="32"/>
          <w:szCs w:val="32"/>
        </w:rPr>
        <w:t xml:space="preserve"> </w:t>
      </w:r>
      <w:r>
        <w:rPr>
          <w:rFonts w:eastAsia="方正仿宋_GBK" w:hint="eastAsia"/>
          <w:sz w:val="32"/>
          <w:szCs w:val="32"/>
        </w:rPr>
        <w:t>拟派的本项目负责人简历和技术人员表</w:t>
      </w:r>
    </w:p>
    <w:p>
      <w:pPr>
        <w:autoSpaceDN w:val="0"/>
        <w:spacing w:line="560" w:lineRule="exact"/>
        <w:ind w:leftChars="135" w:left="284" w:firstLineChars="100" w:firstLine="320"/>
        <w:rPr>
          <w:rFonts w:eastAsia="方正仿宋_GBK"/>
          <w:sz w:val="32"/>
          <w:szCs w:val="32"/>
        </w:rPr>
      </w:pPr>
      <w:r>
        <w:rPr>
          <w:rFonts w:eastAsia="方正仿宋_GBK" w:hint="eastAsia"/>
          <w:sz w:val="32"/>
          <w:szCs w:val="32"/>
        </w:rPr>
        <w:t>1</w:t>
      </w:r>
      <w:r>
        <w:rPr>
          <w:rFonts w:eastAsia="方正仿宋_GBK"/>
          <w:sz w:val="32"/>
          <w:szCs w:val="32"/>
        </w:rPr>
        <w:t>1</w:t>
      </w:r>
      <w:r>
        <w:rPr>
          <w:rFonts w:eastAsia="方正仿宋_GBK" w:hint="eastAsia"/>
          <w:sz w:val="32"/>
          <w:szCs w:val="32"/>
        </w:rPr>
        <w:t>.</w:t>
      </w:r>
      <w:r>
        <w:rPr>
          <w:rFonts w:ascii="宋体" w:hint="eastAsia"/>
          <w:sz w:val="32"/>
          <w:szCs w:val="32"/>
        </w:rPr>
        <w:t xml:space="preserve"> </w:t>
      </w:r>
      <w:r>
        <w:rPr>
          <w:rFonts w:eastAsia="方正仿宋_GBK" w:hint="eastAsia"/>
          <w:sz w:val="32"/>
          <w:szCs w:val="32"/>
        </w:rPr>
        <w:t>设计建设工程等类似项目相关业绩</w:t>
      </w:r>
    </w:p>
    <w:p>
      <w:pPr>
        <w:autoSpaceDN w:val="0"/>
        <w:spacing w:line="560" w:lineRule="exact"/>
        <w:ind w:leftChars="135" w:left="284" w:firstLineChars="100" w:firstLine="320"/>
        <w:rPr>
          <w:rFonts w:eastAsia="方正仿宋_GBK"/>
          <w:sz w:val="32"/>
          <w:szCs w:val="32"/>
        </w:rPr>
      </w:pPr>
      <w:r>
        <w:rPr>
          <w:rFonts w:eastAsia="方正仿宋_GBK" w:hint="eastAsia"/>
          <w:sz w:val="32"/>
          <w:szCs w:val="32"/>
        </w:rPr>
        <w:t>1</w:t>
      </w:r>
      <w:r>
        <w:rPr>
          <w:rFonts w:eastAsia="方正仿宋_GBK"/>
          <w:sz w:val="32"/>
          <w:szCs w:val="32"/>
        </w:rPr>
        <w:t>2</w:t>
      </w:r>
      <w:r>
        <w:rPr>
          <w:rFonts w:eastAsia="方正仿宋_GBK" w:hint="eastAsia"/>
          <w:sz w:val="32"/>
          <w:szCs w:val="32"/>
        </w:rPr>
        <w:t>.</w:t>
      </w:r>
      <w:r>
        <w:rPr>
          <w:rFonts w:eastAsia="方正仿宋_GBK"/>
          <w:sz w:val="32"/>
          <w:szCs w:val="32"/>
        </w:rPr>
        <w:t>其他</w:t>
      </w:r>
      <w:r>
        <w:rPr>
          <w:rFonts w:eastAsia="方正仿宋_GBK" w:hint="eastAsia"/>
          <w:sz w:val="32"/>
          <w:szCs w:val="32"/>
        </w:rPr>
        <w:t>证明文件的复印件（如有请提供）。</w:t>
      </w:r>
    </w:p>
    <w:p>
      <w:pPr>
        <w:spacing w:line="560" w:lineRule="exact"/>
        <w:ind w:leftChars="-1" w:left="-2"/>
        <w:rPr>
          <w:rFonts w:ascii="方正仿宋_GBK" w:eastAsia="方正仿宋_GBK"/>
          <w:sz w:val="32"/>
          <w:szCs w:val="32"/>
        </w:rPr>
      </w:pPr>
      <w:r>
        <w:rPr>
          <w:rFonts w:ascii="方正仿宋_GBK" w:eastAsia="方正仿宋_GBK" w:hint="eastAsia"/>
          <w:sz w:val="32"/>
          <w:szCs w:val="32"/>
        </w:rPr>
        <w:t>(注：须按照上述目录顺序装订报价文件，报价文件中的复印件均需盖章确认，属于必须提供的文件，如果缺少则报价无效。）</w:t>
      </w:r>
    </w:p>
    <w:p>
      <w:pPr>
        <w:spacing w:line="560" w:lineRule="exact"/>
        <w:ind w:left="640"/>
        <w:rPr>
          <w:rFonts w:eastAsia="方正仿宋_GBK"/>
          <w:sz w:val="32"/>
          <w:szCs w:val="32"/>
        </w:rPr>
      </w:pPr>
      <w:r>
        <w:rPr>
          <w:rFonts w:ascii="方正楷体_GBK" w:eastAsia="方正楷体_GBK"/>
          <w:b/>
          <w:sz w:val="32"/>
          <w:szCs w:val="32"/>
        </w:rPr>
        <w:t>（</w:t>
      </w:r>
      <w:r>
        <w:rPr>
          <w:rFonts w:ascii="方正楷体_GBK" w:eastAsia="方正楷体_GBK" w:hint="eastAsia"/>
          <w:b/>
          <w:sz w:val="32"/>
          <w:szCs w:val="32"/>
        </w:rPr>
        <w:t>三</w:t>
      </w:r>
      <w:r>
        <w:rPr>
          <w:rFonts w:ascii="方正楷体_GBK" w:eastAsia="方正楷体_GBK"/>
          <w:b/>
          <w:sz w:val="32"/>
          <w:szCs w:val="32"/>
        </w:rPr>
        <w:t>）报价文件包装密封要求</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报价</w:t>
      </w:r>
      <w:r>
        <w:rPr>
          <w:rFonts w:eastAsia="方正仿宋_GBK"/>
          <w:sz w:val="32"/>
          <w:szCs w:val="32"/>
        </w:rPr>
        <w:t>人应将所有报价文件装在一个密封袋内，</w:t>
      </w:r>
      <w:r>
        <w:rPr>
          <w:rFonts w:eastAsia="方正仿宋_GBK" w:hint="eastAsia"/>
          <w:sz w:val="32"/>
          <w:szCs w:val="32"/>
        </w:rPr>
        <w:t>报价</w:t>
      </w:r>
      <w:r>
        <w:rPr>
          <w:rFonts w:eastAsia="方正仿宋_GBK"/>
          <w:sz w:val="32"/>
          <w:szCs w:val="32"/>
        </w:rPr>
        <w:t>文件密封袋的封口处应加贴封条并加盖</w:t>
      </w:r>
      <w:r>
        <w:rPr>
          <w:rFonts w:eastAsia="方正仿宋_GBK" w:hint="eastAsia"/>
          <w:sz w:val="32"/>
          <w:szCs w:val="32"/>
        </w:rPr>
        <w:t>报价</w:t>
      </w:r>
      <w:r>
        <w:rPr>
          <w:rFonts w:eastAsia="方正仿宋_GBK"/>
          <w:sz w:val="32"/>
          <w:szCs w:val="32"/>
        </w:rPr>
        <w:t>人法人单位公章以示密封。</w:t>
      </w:r>
    </w:p>
    <w:p>
      <w:pPr>
        <w:spacing w:line="560" w:lineRule="exact"/>
        <w:ind w:firstLineChars="200" w:firstLine="640"/>
        <w:rPr>
          <w:rFonts w:eastAsia="方正黑体_GBK"/>
          <w:sz w:val="32"/>
          <w:szCs w:val="32"/>
        </w:rPr>
      </w:pPr>
      <w:r>
        <w:rPr>
          <w:rFonts w:eastAsia="方正黑体_GBK"/>
          <w:sz w:val="32"/>
          <w:szCs w:val="32"/>
        </w:rPr>
        <w:t>二、资质评审</w:t>
      </w:r>
    </w:p>
    <w:p>
      <w:pPr>
        <w:spacing w:line="560" w:lineRule="exact"/>
        <w:ind w:firstLineChars="200" w:firstLine="640"/>
        <w:rPr>
          <w:rFonts w:eastAsia="方正仿宋_GBK"/>
          <w:sz w:val="32"/>
          <w:szCs w:val="32"/>
        </w:rPr>
      </w:pPr>
      <w:r>
        <w:rPr>
          <w:rFonts w:eastAsia="方正仿宋_GBK" w:hint="eastAsia"/>
          <w:sz w:val="32"/>
          <w:szCs w:val="32"/>
        </w:rPr>
        <w:t>具备《采购公告》中企业资质。</w:t>
      </w:r>
    </w:p>
    <w:p>
      <w:pPr>
        <w:spacing w:line="560" w:lineRule="exact"/>
        <w:ind w:firstLineChars="196" w:firstLine="627"/>
        <w:rPr>
          <w:rFonts w:eastAsia="方正黑体_GBK"/>
          <w:sz w:val="32"/>
          <w:szCs w:val="32"/>
        </w:rPr>
      </w:pPr>
      <w:r>
        <w:rPr>
          <w:rFonts w:eastAsia="方正黑体_GBK" w:hint="eastAsia"/>
          <w:sz w:val="32"/>
          <w:szCs w:val="32"/>
        </w:rPr>
        <w:t>三、响应性评审</w:t>
      </w:r>
    </w:p>
    <w:p>
      <w:pPr>
        <w:spacing w:line="560" w:lineRule="exact"/>
        <w:ind w:firstLineChars="200" w:firstLine="640"/>
        <w:rPr>
          <w:rFonts w:eastAsia="方正仿宋_GBK"/>
          <w:color w:val="FF0000"/>
          <w:sz w:val="32"/>
          <w:szCs w:val="32"/>
        </w:rPr>
      </w:pPr>
      <w:r>
        <w:rPr>
          <w:rFonts w:eastAsia="方正仿宋_GBK" w:hint="eastAsia"/>
          <w:sz w:val="32"/>
          <w:szCs w:val="32"/>
        </w:rPr>
        <w:t>（一）</w:t>
      </w:r>
      <w:r>
        <w:rPr>
          <w:rFonts w:eastAsia="方正仿宋_GBK"/>
          <w:sz w:val="32"/>
          <w:szCs w:val="32"/>
        </w:rPr>
        <w:t>不符合以上</w:t>
      </w:r>
      <w:r>
        <w:rPr>
          <w:rFonts w:eastAsia="方正仿宋_GBK" w:hint="eastAsia"/>
          <w:sz w:val="32"/>
          <w:szCs w:val="32"/>
        </w:rPr>
        <w:t>形式</w:t>
      </w:r>
      <w:r>
        <w:rPr>
          <w:rFonts w:eastAsia="方正仿宋_GBK"/>
          <w:sz w:val="32"/>
          <w:szCs w:val="32"/>
        </w:rPr>
        <w:t>要求（标注必须提供的材料未提交的）</w:t>
      </w:r>
      <w:r>
        <w:rPr>
          <w:rFonts w:eastAsia="方正仿宋_GBK" w:hint="eastAsia"/>
          <w:sz w:val="32"/>
          <w:szCs w:val="32"/>
        </w:rPr>
        <w:t>和资质要求的为不响应采购文件</w:t>
      </w:r>
      <w:r>
        <w:rPr>
          <w:rFonts w:eastAsia="方正仿宋_GBK"/>
          <w:sz w:val="32"/>
          <w:szCs w:val="32"/>
        </w:rPr>
        <w:t>，不</w:t>
      </w:r>
      <w:r>
        <w:rPr>
          <w:rFonts w:eastAsia="方正仿宋_GBK" w:hint="eastAsia"/>
          <w:sz w:val="32"/>
          <w:szCs w:val="32"/>
        </w:rPr>
        <w:t>得</w:t>
      </w:r>
      <w:r>
        <w:rPr>
          <w:rFonts w:eastAsia="方正仿宋_GBK"/>
          <w:sz w:val="32"/>
          <w:szCs w:val="32"/>
        </w:rPr>
        <w:t>参加下一步详评。</w:t>
      </w:r>
    </w:p>
    <w:p>
      <w:pPr>
        <w:spacing w:line="560" w:lineRule="exact"/>
        <w:ind w:firstLineChars="200" w:firstLine="640"/>
        <w:rPr>
          <w:rFonts w:eastAsia="方正仿宋_GBK"/>
          <w:sz w:val="32"/>
          <w:szCs w:val="32"/>
        </w:rPr>
      </w:pPr>
      <w:r>
        <w:rPr>
          <w:rFonts w:eastAsia="方正仿宋_GBK" w:hint="eastAsia"/>
          <w:sz w:val="32"/>
          <w:szCs w:val="32"/>
        </w:rPr>
        <w:t>（二）报价</w:t>
      </w:r>
      <w:r>
        <w:rPr>
          <w:rFonts w:eastAsia="方正仿宋_GBK"/>
          <w:sz w:val="32"/>
          <w:szCs w:val="32"/>
        </w:rPr>
        <w:t>控制在预算价以内为有效报价，超出预算价的报价文件为不响应采购文件，不得参加下一步详评</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sz w:val="32"/>
          <w:szCs w:val="32"/>
        </w:rPr>
        <w:t>（三）报价函与报价明细表的报价不一致时，以报价函价格为准，报价大、小写不一致时，以大写价格为准。</w:t>
      </w:r>
    </w:p>
    <w:p>
      <w:pPr>
        <w:spacing w:line="560" w:lineRule="exact"/>
        <w:ind w:firstLineChars="200" w:firstLine="640"/>
        <w:rPr>
          <w:rFonts w:ascii="华文隶书" w:eastAsia="华文隶书"/>
          <w:sz w:val="32"/>
          <w:szCs w:val="32"/>
          <w:highlight w:val="yellow"/>
        </w:rPr>
      </w:pPr>
      <w:r>
        <w:rPr>
          <w:rFonts w:eastAsia="方正仿宋_GBK"/>
          <w:sz w:val="32"/>
          <w:szCs w:val="32"/>
        </w:rPr>
        <w:t>如评审小组认为报价人有必要对报价文件进行补充或澄清的，可要求报价人在规定时间内提交相关材料或作二次报价。</w:t>
      </w:r>
    </w:p>
    <w:p>
      <w:pPr>
        <w:spacing w:line="560" w:lineRule="exact"/>
        <w:ind w:firstLineChars="200" w:firstLine="640"/>
        <w:rPr>
          <w:rFonts w:eastAsia="方正黑体_GBK"/>
          <w:sz w:val="32"/>
          <w:szCs w:val="32"/>
        </w:rPr>
      </w:pPr>
      <w:r>
        <w:rPr>
          <w:rFonts w:eastAsia="方正黑体_GBK" w:hint="eastAsia"/>
          <w:sz w:val="32"/>
          <w:szCs w:val="32"/>
        </w:rPr>
        <w:t>四</w:t>
      </w:r>
      <w:r>
        <w:rPr>
          <w:rFonts w:eastAsia="方正黑体_GBK"/>
          <w:sz w:val="32"/>
          <w:szCs w:val="32"/>
        </w:rPr>
        <w:t>、评审方法及评分标准</w:t>
      </w:r>
    </w:p>
    <w:p>
      <w:pPr>
        <w:spacing w:line="560" w:lineRule="exact"/>
        <w:ind w:firstLineChars="200" w:firstLine="640"/>
        <w:rPr>
          <w:rFonts w:eastAsia="方正仿宋_GBK"/>
          <w:sz w:val="32"/>
          <w:szCs w:val="32"/>
        </w:rPr>
      </w:pPr>
      <w:r>
        <w:rPr>
          <w:rFonts w:eastAsia="方正仿宋_GBK"/>
          <w:sz w:val="32"/>
          <w:szCs w:val="32"/>
        </w:rPr>
        <w:t>（一）评审方法</w:t>
      </w:r>
    </w:p>
    <w:p>
      <w:pPr>
        <w:spacing w:line="560" w:lineRule="exact"/>
        <w:ind w:firstLineChars="200" w:firstLine="640"/>
        <w:rPr>
          <w:rFonts w:eastAsia="方正仿宋_GBK"/>
          <w:sz w:val="32"/>
          <w:szCs w:val="32"/>
        </w:rPr>
      </w:pPr>
      <w:r>
        <w:rPr>
          <w:rFonts w:eastAsia="方正仿宋_GBK"/>
          <w:sz w:val="32"/>
          <w:szCs w:val="32"/>
        </w:rPr>
        <w:t>1. 对进入详评的，采用百分制综合评分法。</w:t>
      </w:r>
    </w:p>
    <w:p>
      <w:pPr>
        <w:spacing w:line="560" w:lineRule="exact"/>
        <w:ind w:firstLineChars="200" w:firstLine="640"/>
        <w:rPr>
          <w:rFonts w:eastAsia="方正仿宋_GBK"/>
          <w:sz w:val="32"/>
          <w:szCs w:val="32"/>
        </w:rPr>
      </w:pPr>
      <w:r>
        <w:rPr>
          <w:rFonts w:eastAsia="方正仿宋_GBK"/>
          <w:sz w:val="32"/>
          <w:szCs w:val="32"/>
        </w:rPr>
        <w:t>2. 计分方法（按四舍五入取至小数点后一位）。</w:t>
      </w:r>
    </w:p>
    <w:p>
      <w:pPr>
        <w:spacing w:line="560" w:lineRule="exact"/>
        <w:ind w:firstLineChars="200" w:firstLine="640"/>
        <w:rPr>
          <w:rFonts w:eastAsia="方正仿宋_GBK"/>
          <w:sz w:val="32"/>
          <w:szCs w:val="32"/>
        </w:rPr>
      </w:pPr>
      <w:r>
        <w:rPr>
          <w:rFonts w:eastAsia="方正仿宋_GBK" w:hint="eastAsia"/>
          <w:sz w:val="32"/>
          <w:szCs w:val="32"/>
        </w:rPr>
        <w:t>3. 以封闭方式进行。评审时，对于带有主观因素的评分，由各评委独立进行评价、打分，不允许讨论。</w:t>
      </w:r>
    </w:p>
    <w:p>
      <w:pPr>
        <w:spacing w:line="400" w:lineRule="exact"/>
        <w:ind w:firstLineChars="200" w:firstLine="560"/>
        <w:rPr>
          <w:rFonts w:ascii="方正仿宋_GBK" w:eastAsia="方正仿宋_GBK"/>
          <w:b/>
          <w:bCs/>
          <w:color w:val="000000"/>
          <w:sz w:val="28"/>
          <w:szCs w:val="28"/>
        </w:rPr>
      </w:pPr>
      <w:r>
        <w:rPr>
          <w:rFonts w:ascii="仿宋_GB2312" w:eastAsia="仿宋_GB2312" w:cs="Courier New" w:hint="eastAsia"/>
          <w:b/>
          <w:sz w:val="28"/>
          <w:szCs w:val="28"/>
        </w:rPr>
        <w:t>（二）评分标准</w:t>
      </w:r>
    </w:p>
    <w:tbl>
      <w:tblPr>
        <w:jc w:val="left"/>
        <w:tblW w:w="975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67"/>
        <w:gridCol w:w="674"/>
        <w:gridCol w:w="714"/>
        <w:gridCol w:w="992"/>
        <w:gridCol w:w="6800"/>
      </w:tblGrid>
      <w:tr>
        <w:trPr>
          <w:trHeight w:val="270"/>
        </w:trPr>
        <w:tc>
          <w:tcPr>
            <w:tcW w:w="567" w:type="dxa"/>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color w:val="000000"/>
                <w:kern w:val="0"/>
                <w:szCs w:val="21"/>
              </w:rPr>
              <w:t>序号</w:t>
            </w:r>
          </w:p>
        </w:tc>
        <w:tc>
          <w:tcPr>
            <w:tcW w:w="23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color w:val="000000"/>
                <w:kern w:val="0"/>
                <w:szCs w:val="21"/>
              </w:rPr>
              <w:t>评分项</w:t>
            </w:r>
          </w:p>
        </w:tc>
        <w:tc>
          <w:tcPr>
            <w:tcW w:w="6800" w:type="dxa"/>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bottom"/>
              <w:rPr>
                <w:rFonts w:ascii="宋体" w:cs="宋体"/>
                <w:color w:val="000000"/>
                <w:szCs w:val="21"/>
              </w:rPr>
            </w:pPr>
            <w:r>
              <w:rPr>
                <w:rFonts w:ascii="宋体" w:cs="宋体" w:hint="eastAsia"/>
                <w:color w:val="000000"/>
                <w:kern w:val="0"/>
                <w:szCs w:val="21"/>
              </w:rPr>
              <w:t>评分标准</w:t>
            </w:r>
          </w:p>
        </w:tc>
      </w:tr>
      <w:tr>
        <w:trPr>
          <w:trHeight w:val="1080"/>
        </w:trPr>
        <w:tc>
          <w:tcPr>
            <w:tcW w:w="567" w:type="dxa"/>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color w:val="000000"/>
                <w:kern w:val="0"/>
                <w:szCs w:val="21"/>
              </w:rPr>
              <w:t>1</w:t>
            </w:r>
          </w:p>
        </w:tc>
        <w:tc>
          <w:tcPr>
            <w:tcW w:w="2380" w:type="dxa"/>
            <w:gridSpan w:val="3"/>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color w:val="000000"/>
                <w:kern w:val="0"/>
                <w:szCs w:val="21"/>
              </w:rPr>
            </w:pPr>
            <w:r>
              <w:rPr>
                <w:rFonts w:ascii="宋体" w:cs="宋体" w:hint="eastAsia"/>
                <w:color w:val="000000"/>
                <w:kern w:val="0"/>
                <w:szCs w:val="21"/>
              </w:rPr>
              <w:t>价格分</w:t>
            </w:r>
          </w:p>
          <w:p>
            <w:pPr>
              <w:widowControl/>
              <w:spacing w:line="400" w:lineRule="exact"/>
              <w:jc w:val="center"/>
              <w:textAlignment w:val="center"/>
              <w:rPr>
                <w:rFonts w:ascii="宋体" w:cs="宋体"/>
                <w:color w:val="000000"/>
                <w:szCs w:val="21"/>
              </w:rPr>
            </w:pPr>
            <w:r>
              <w:rPr>
                <w:rFonts w:ascii="宋体" w:cs="宋体" w:hint="eastAsia"/>
                <w:color w:val="000000"/>
                <w:kern w:val="0"/>
                <w:szCs w:val="21"/>
              </w:rPr>
              <w:t>（30分）</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line="420" w:lineRule="exact"/>
              <w:ind w:firstLineChars="196" w:firstLine="412"/>
              <w:jc w:val="left"/>
              <w:outlineLvl w:val="0"/>
              <w:rPr>
                <w:rFonts w:ascii="宋体"/>
              </w:rPr>
            </w:pPr>
            <w:r>
              <w:rPr>
                <w:rFonts w:ascii="宋体" w:hint="eastAsia"/>
              </w:rPr>
              <w:t xml:space="preserve">有效报价范围：为投标最终报价低于或等于招标控制价，通过资格评审的投标人最终报价。 </w:t>
            </w:r>
          </w:p>
          <w:p>
            <w:pPr>
              <w:pStyle w:val="45"/>
              <w:spacing w:line="400" w:lineRule="exact"/>
              <w:ind w:firstLineChars="150" w:firstLine="315"/>
              <w:rPr>
                <w:rFonts w:hint="eastAsia"/>
                <w:color w:val="000000"/>
                <w:szCs w:val="21"/>
              </w:rPr>
            </w:pPr>
            <w:r>
              <w:rPr>
                <w:rFonts w:hint="eastAsia"/>
                <w:color w:val="000000"/>
                <w:szCs w:val="21"/>
              </w:rPr>
              <w:t>价格分计算公式：</w:t>
            </w:r>
          </w:p>
          <w:tbl>
            <w:tblPr>
              <w:jc w:val="cent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452"/>
              <w:gridCol w:w="2759"/>
              <w:gridCol w:w="2759"/>
            </w:tblGrid>
            <w:tr>
              <w:trPr>
                <w:trHeight w:val="567"/>
              </w:trPr>
              <w:tc>
                <w:tcPr>
                  <w:tcW w:w="2452" w:type="dxa"/>
                  <w:vMerge w:val="restart"/>
                  <w:vAlign w:val="center"/>
                </w:tcPr>
                <w:p>
                  <w:pPr>
                    <w:pStyle w:val="45"/>
                    <w:spacing w:line="400" w:lineRule="exact"/>
                    <w:jc w:val="right"/>
                    <w:rPr>
                      <w:color w:val="000000"/>
                      <w:szCs w:val="21"/>
                    </w:rPr>
                  </w:pPr>
                  <w:r>
                    <w:rPr>
                      <w:rFonts w:hint="eastAsia"/>
                      <w:color w:val="000000"/>
                      <w:szCs w:val="21"/>
                    </w:rPr>
                    <w:t>某投标人价格分 ＝</w:t>
                  </w:r>
                </w:p>
              </w:tc>
              <w:tc>
                <w:tcPr>
                  <w:tcW w:w="2759" w:type="dxa"/>
                  <w:tcBorders>
                    <w:top w:val="nil"/>
                    <w:left w:val="nil"/>
                    <w:bottom w:val="single" w:sz="4" w:space="0" w:color="auto"/>
                    <w:right w:val="nil"/>
                  </w:tcBorders>
                </w:tcPr>
                <w:p>
                  <w:pPr>
                    <w:pStyle w:val="45"/>
                    <w:spacing w:line="400" w:lineRule="exact"/>
                    <w:jc w:val="center"/>
                    <w:rPr>
                      <w:color w:val="000000"/>
                      <w:szCs w:val="21"/>
                    </w:rPr>
                  </w:pPr>
                  <w:r>
                    <w:rPr>
                      <w:rFonts w:hint="eastAsia"/>
                      <w:color w:val="000000"/>
                      <w:szCs w:val="21"/>
                    </w:rPr>
                    <w:t>有效投标人最低报价金额</w:t>
                  </w:r>
                </w:p>
              </w:tc>
              <w:tc>
                <w:tcPr>
                  <w:tcW w:w="2759" w:type="dxa"/>
                  <w:vMerge w:val="restart"/>
                  <w:vAlign w:val="center"/>
                </w:tcPr>
                <w:p>
                  <w:pPr>
                    <w:pStyle w:val="45"/>
                    <w:spacing w:line="400" w:lineRule="exact"/>
                    <w:rPr>
                      <w:color w:val="000000"/>
                      <w:szCs w:val="21"/>
                    </w:rPr>
                  </w:pPr>
                  <w:r>
                    <w:rPr>
                      <w:rFonts w:hint="eastAsia"/>
                      <w:color w:val="000000"/>
                      <w:szCs w:val="21"/>
                    </w:rPr>
                    <w:t>×30分</w:t>
                  </w:r>
                </w:p>
              </w:tc>
            </w:tr>
            <w:tr>
              <w:trPr>
                <w:trHeight w:val="567"/>
              </w:trPr>
              <w:tc>
                <w:tcPr>
                  <w:tcW w:w="2452" w:type="dxa"/>
                  <w:vMerge/>
                  <w:vAlign w:val="center"/>
                </w:tcPr>
                <w:p/>
              </w:tc>
              <w:tc>
                <w:tcPr>
                  <w:tcW w:w="2759" w:type="dxa"/>
                  <w:tcBorders>
                    <w:top w:val="single" w:sz="4" w:space="0" w:color="auto"/>
                    <w:left w:val="nil"/>
                    <w:bottom w:val="nil"/>
                    <w:right w:val="nil"/>
                  </w:tcBorders>
                </w:tcPr>
                <w:p>
                  <w:pPr>
                    <w:pStyle w:val="45"/>
                    <w:spacing w:line="400" w:lineRule="exact"/>
                    <w:jc w:val="center"/>
                    <w:rPr>
                      <w:color w:val="000000"/>
                      <w:szCs w:val="21"/>
                    </w:rPr>
                  </w:pPr>
                  <w:r>
                    <w:rPr>
                      <w:rFonts w:hint="eastAsia"/>
                      <w:color w:val="000000"/>
                      <w:szCs w:val="21"/>
                    </w:rPr>
                    <w:t>某投标人报价金额</w:t>
                  </w:r>
                </w:p>
              </w:tc>
              <w:tc>
                <w:tcPr>
                  <w:tcW w:w="2759" w:type="dxa"/>
                  <w:vMerge/>
                  <w:vAlign w:val="center"/>
                </w:tcPr>
                <w:p/>
              </w:tc>
            </w:tr>
          </w:tbl>
          <w:p>
            <w:pPr>
              <w:widowControl/>
              <w:spacing w:line="400" w:lineRule="exact"/>
              <w:jc w:val="left"/>
              <w:textAlignment w:val="center"/>
              <w:rPr>
                <w:rFonts w:ascii="宋体" w:cs="宋体"/>
                <w:color w:val="000000"/>
                <w:szCs w:val="21"/>
              </w:rPr>
            </w:pPr>
          </w:p>
        </w:tc>
      </w:tr>
      <w:tr>
        <w:trPr>
          <w:trHeight w:val="872"/>
        </w:trPr>
        <w:tc>
          <w:tcPr>
            <w:tcW w:w="567" w:type="dxa"/>
            <w:vMerge w:val="restart"/>
            <w:tcBorders>
              <w:top w:val="single" w:sz="4" w:space="0" w:color="000000"/>
              <w:left w:val="single" w:sz="4" w:space="0" w:color="000000"/>
              <w:bottom w:val="nil"/>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color w:val="000000"/>
                <w:kern w:val="0"/>
                <w:szCs w:val="21"/>
              </w:rPr>
              <w:t>2</w:t>
            </w:r>
          </w:p>
        </w:tc>
        <w:tc>
          <w:tcPr>
            <w:tcW w:w="674" w:type="dxa"/>
            <w:vMerge w:val="restart"/>
            <w:tcBorders>
              <w:top w:val="single" w:sz="4" w:space="0" w:color="000000"/>
              <w:left w:val="single" w:sz="4" w:space="0" w:color="000000"/>
              <w:bottom w:val="nil"/>
              <w:right w:val="single" w:sz="4" w:space="0" w:color="auto"/>
            </w:tcBorders>
            <w:vAlign w:val="center"/>
          </w:tcPr>
          <w:p>
            <w:pPr>
              <w:widowControl/>
              <w:spacing w:line="400" w:lineRule="exact"/>
              <w:jc w:val="center"/>
              <w:textAlignment w:val="center"/>
              <w:rPr>
                <w:rFonts w:ascii="宋体" w:cs="宋体"/>
                <w:color w:val="000000"/>
                <w:kern w:val="0"/>
                <w:szCs w:val="21"/>
              </w:rPr>
            </w:pPr>
            <w:r>
              <w:rPr>
                <w:rFonts w:ascii="宋体" w:cs="宋体" w:hint="eastAsia"/>
                <w:color w:val="000000"/>
                <w:kern w:val="0"/>
                <w:szCs w:val="21"/>
              </w:rPr>
              <w:t>技术分</w:t>
            </w:r>
          </w:p>
          <w:p>
            <w:pPr>
              <w:spacing w:line="400" w:lineRule="exact"/>
              <w:jc w:val="center"/>
              <w:textAlignment w:val="center"/>
              <w:rPr>
                <w:rFonts w:ascii="宋体" w:cs="宋体"/>
                <w:color w:val="000000"/>
                <w:szCs w:val="21"/>
              </w:rPr>
            </w:pPr>
            <w:r>
              <w:rPr>
                <w:rFonts w:ascii="宋体" w:cs="宋体" w:hint="eastAsia"/>
                <w:color w:val="000000"/>
                <w:kern w:val="0"/>
                <w:szCs w:val="21"/>
              </w:rPr>
              <w:t>（60分）</w:t>
            </w:r>
          </w:p>
        </w:tc>
        <w:tc>
          <w:tcPr>
            <w:tcW w:w="714" w:type="dxa"/>
            <w:vMerge w:val="restart"/>
            <w:tcBorders>
              <w:top w:val="single" w:sz="4" w:space="0" w:color="000000"/>
              <w:left w:val="single" w:sz="4" w:space="0" w:color="auto"/>
              <w:bottom w:val="single" w:sz="4" w:space="0" w:color="000000"/>
              <w:right w:val="single" w:sz="4" w:space="0" w:color="auto"/>
            </w:tcBorders>
            <w:vAlign w:val="center"/>
          </w:tcPr>
          <w:p>
            <w:pPr>
              <w:widowControl/>
              <w:spacing w:line="400" w:lineRule="exact"/>
              <w:jc w:val="center"/>
              <w:textAlignment w:val="center"/>
              <w:rPr>
                <w:rFonts w:ascii="宋体" w:cs="宋体"/>
                <w:color w:val="000000"/>
                <w:szCs w:val="21"/>
              </w:rPr>
            </w:pPr>
            <w:r>
              <w:rPr>
                <w:rFonts w:ascii="宋体" w:cs="宋体" w:hint="eastAsia"/>
                <w:bCs/>
                <w:szCs w:val="21"/>
              </w:rPr>
              <w:t>项目管理机构</w:t>
            </w:r>
            <w:r>
              <w:rPr>
                <w:rFonts w:ascii="宋体" w:cs="宋体" w:hint="eastAsia"/>
                <w:color w:val="000000"/>
                <w:szCs w:val="21"/>
              </w:rPr>
              <w:t>（</w:t>
            </w:r>
            <w:r>
              <w:rPr>
                <w:rFonts w:ascii="宋体" w:hint="eastAsia"/>
                <w:color w:val="000000"/>
                <w:szCs w:val="21"/>
              </w:rPr>
              <w:t>12分</w:t>
            </w:r>
            <w:r>
              <w:rPr>
                <w:rFonts w:ascii="宋体" w:hint="eastAsia"/>
                <w:color w:val="000000"/>
                <w:szCs w:val="21"/>
                <w:lang w:val="zh-CN"/>
              </w:rPr>
              <w:t>）</w:t>
            </w:r>
          </w:p>
        </w:tc>
        <w:tc>
          <w:tcPr>
            <w:tcW w:w="992" w:type="dxa"/>
            <w:tcBorders>
              <w:top w:val="single" w:sz="4" w:space="0" w:color="000000"/>
              <w:left w:val="single" w:sz="4" w:space="0" w:color="auto"/>
              <w:bottom w:val="single" w:sz="4" w:space="0" w:color="000000"/>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bCs/>
                <w:szCs w:val="21"/>
              </w:rPr>
              <w:t>项目经理资格（4分）</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line="380" w:lineRule="exact"/>
              <w:ind w:firstLineChars="100" w:firstLine="210"/>
              <w:jc w:val="left"/>
              <w:rPr>
                <w:rFonts w:ascii="宋体"/>
              </w:rPr>
            </w:pPr>
            <w:r>
              <w:rPr>
                <w:rFonts w:ascii="宋体" w:hint="eastAsia"/>
              </w:rPr>
              <w:t>①拟投入的项目经理具有建筑工程专业贰级及以上注册建造师执业资格的得2分。</w:t>
            </w:r>
          </w:p>
          <w:p>
            <w:pPr>
              <w:spacing w:line="380" w:lineRule="exact"/>
              <w:ind w:firstLineChars="100" w:firstLine="210"/>
              <w:jc w:val="left"/>
            </w:pPr>
            <w:r>
              <w:rPr>
                <w:rFonts w:ascii="宋体" w:hint="eastAsia"/>
              </w:rPr>
              <w:t>②拟投入的项目经理具有中级及以上技术职称的得2分。</w:t>
            </w:r>
          </w:p>
        </w:tc>
      </w:tr>
      <w:tr>
        <w:trPr>
          <w:trHeight w:val="1267"/>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single" w:sz="4" w:space="0" w:color="000000"/>
              <w:right w:val="single" w:sz="4" w:space="0" w:color="auto"/>
            </w:tcBorders>
            <w:vAlign w:val="center"/>
          </w:tcPr>
          <w:p/>
        </w:tc>
        <w:tc>
          <w:tcPr>
            <w:tcW w:w="992" w:type="dxa"/>
            <w:tcBorders>
              <w:top w:val="single" w:sz="4" w:space="0" w:color="000000"/>
              <w:left w:val="single" w:sz="4" w:space="0" w:color="auto"/>
              <w:bottom w:val="single" w:sz="4" w:space="0" w:color="000000"/>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bCs/>
                <w:szCs w:val="21"/>
              </w:rPr>
              <w:t>其他主要人员（8分）</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line="380" w:lineRule="exact"/>
              <w:ind w:firstLineChars="200" w:firstLine="420"/>
              <w:jc w:val="left"/>
              <w:rPr>
                <w:rFonts w:ascii="宋体"/>
              </w:rPr>
            </w:pPr>
            <w:r>
              <w:rPr>
                <w:rFonts w:ascii="宋体" w:hint="eastAsia"/>
              </w:rPr>
              <w:t>①基本要求：人员齐备、专业配套应具备相关施工现场专业人员职业培训合格证书(拟派驻本项目的技术负责人应具有中级及以上职称证件,安全员、施工员、质量员、材料员应具有相应施工现场专业人员职业培训合格证书，且拟投入的项目管理人员符合国家及广西壮族自治区的规定。</w:t>
            </w:r>
          </w:p>
          <w:p>
            <w:pPr>
              <w:spacing w:line="380" w:lineRule="exact"/>
              <w:ind w:firstLineChars="200" w:firstLine="420"/>
              <w:jc w:val="left"/>
              <w:rPr>
                <w:rFonts w:ascii="宋体" w:hint="eastAsia"/>
              </w:rPr>
            </w:pPr>
            <w:r>
              <w:rPr>
                <w:rFonts w:ascii="宋体" w:hint="eastAsia"/>
              </w:rPr>
              <w:t>优(2.6-4分)：拟投入本项目的技术负责人具有工程类中级及以上职称，安全员、施工员、 质检员、材料员均具有相应岗位资格证书，且拟投入的项目管理人员完全符合国家及广西壮族自治区的规定，完全满足项目施工管理要求，并承诺所拟投入人员均能保证进入现场施工管理。</w:t>
            </w:r>
          </w:p>
          <w:p>
            <w:pPr>
              <w:spacing w:line="380" w:lineRule="exact"/>
              <w:ind w:firstLineChars="200" w:firstLine="420"/>
              <w:jc w:val="left"/>
              <w:rPr>
                <w:rFonts w:ascii="宋体" w:hint="eastAsia"/>
              </w:rPr>
            </w:pPr>
            <w:r>
              <w:rPr>
                <w:rFonts w:ascii="宋体" w:hint="eastAsia"/>
              </w:rPr>
              <w:t>良(1.1-2.5分)：拟投入本项目的技术负责人具有工程类中级及以上职称，安全员、施工员、质检员、材料员具有相应岗位资格证书，且拟投入的项目管理人员基本符合国家及广西壮族自治区的规定，基本满足项目施工管理要求，并承诺所拟投入人员均能保证进入现场施工管理。</w:t>
            </w:r>
          </w:p>
          <w:p>
            <w:pPr>
              <w:spacing w:line="380" w:lineRule="exact"/>
              <w:ind w:firstLineChars="200" w:firstLine="420"/>
              <w:jc w:val="left"/>
              <w:rPr>
                <w:rFonts w:ascii="宋体" w:hint="eastAsia"/>
              </w:rPr>
            </w:pPr>
            <w:r>
              <w:rPr>
                <w:rFonts w:ascii="宋体" w:hint="eastAsia"/>
              </w:rPr>
              <w:t>差（0-1分）：拟投入本项目的技术负责人具有机电工程类中级及以上职称，安全员、施工员、质检员、材料员基本具有相应岗位资格证书或证书不齐全，不能满足项目施工管理要求。</w:t>
            </w:r>
          </w:p>
          <w:p>
            <w:pPr>
              <w:spacing w:line="400" w:lineRule="exact"/>
              <w:jc w:val="left"/>
              <w:rPr>
                <w:rFonts w:ascii="宋体" w:cs="宋体"/>
                <w:color w:val="000000"/>
                <w:szCs w:val="21"/>
              </w:rPr>
            </w:pPr>
            <w:r>
              <w:rPr>
                <w:rFonts w:ascii="宋体" w:hint="eastAsia"/>
              </w:rPr>
              <w:t>②拟投入安全员、施工员、 质检员、材料员具有工程类中级及以上职称的每个加1分，满分4分；安全员、施工员、 质检员、材料员具有工程类初级职称的每个加0.5分，满分2分。</w:t>
            </w:r>
          </w:p>
        </w:tc>
      </w:tr>
      <w:tr>
        <w:trPr>
          <w:trHeight w:val="3263"/>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714" w:type="dxa"/>
            <w:vMerge w:val="restart"/>
            <w:tcBorders>
              <w:top w:val="single" w:sz="4" w:space="0" w:color="000000"/>
              <w:left w:val="single" w:sz="4" w:space="0" w:color="auto"/>
              <w:bottom w:val="nil"/>
              <w:right w:val="single" w:sz="4" w:space="0" w:color="auto"/>
            </w:tcBorders>
            <w:vAlign w:val="center"/>
          </w:tcPr>
          <w:p>
            <w:pPr>
              <w:widowControl/>
              <w:spacing w:line="400" w:lineRule="exact"/>
              <w:jc w:val="center"/>
              <w:textAlignment w:val="center"/>
              <w:rPr>
                <w:rFonts w:ascii="宋体" w:cs="宋体"/>
                <w:color w:val="000000"/>
                <w:szCs w:val="21"/>
              </w:rPr>
            </w:pPr>
            <w:r>
              <w:rPr>
                <w:rFonts w:ascii="宋体" w:cs="宋体" w:hint="eastAsia"/>
                <w:szCs w:val="21"/>
              </w:rPr>
              <w:t>施工方案（48分</w:t>
            </w:r>
          </w:p>
        </w:tc>
        <w:tc>
          <w:tcPr>
            <w:tcW w:w="992" w:type="dxa"/>
            <w:tcBorders>
              <w:top w:val="single" w:sz="4" w:space="0" w:color="000000"/>
              <w:left w:val="single" w:sz="4" w:space="0" w:color="auto"/>
              <w:bottom w:val="single" w:sz="4" w:space="0" w:color="auto"/>
              <w:right w:val="single" w:sz="4" w:space="0" w:color="000000"/>
            </w:tcBorders>
            <w:vAlign w:val="center"/>
          </w:tcPr>
          <w:p>
            <w:pPr>
              <w:spacing w:line="420" w:lineRule="exact"/>
              <w:jc w:val="left"/>
              <w:outlineLvl w:val="0"/>
              <w:rPr>
                <w:rFonts w:ascii="宋体" w:cs="宋体"/>
                <w:color w:val="000000"/>
                <w:szCs w:val="21"/>
              </w:rPr>
            </w:pPr>
            <w:r>
              <w:rPr>
                <w:rFonts w:ascii="宋体" w:cs="宋体" w:hint="eastAsia"/>
                <w:szCs w:val="21"/>
              </w:rPr>
              <w:t>1）主要施工方法（5分）</w:t>
            </w:r>
          </w:p>
        </w:tc>
        <w:tc>
          <w:tcPr>
            <w:tcW w:w="6800" w:type="dxa"/>
            <w:tcBorders>
              <w:top w:val="single" w:sz="4" w:space="0" w:color="000000"/>
              <w:left w:val="single" w:sz="4" w:space="0" w:color="000000"/>
              <w:bottom w:val="single" w:sz="4" w:space="0" w:color="auto"/>
              <w:right w:val="single" w:sz="4" w:space="0" w:color="000000"/>
            </w:tcBorders>
            <w:vAlign w:val="center"/>
          </w:tcPr>
          <w:p>
            <w:pPr>
              <w:spacing w:line="420" w:lineRule="exact"/>
              <w:ind w:firstLineChars="196" w:firstLine="412"/>
              <w:jc w:val="left"/>
              <w:outlineLvl w:val="0"/>
              <w:rPr>
                <w:rFonts w:ascii="宋体"/>
              </w:rPr>
            </w:pPr>
            <w:r>
              <w:rPr>
                <w:rFonts w:ascii="宋体" w:hint="eastAsia"/>
              </w:rPr>
              <w:t xml:space="preserve">优（3.1-5分）：施工总体安排合理，对施工难点有先进和合理的建议；有详尽的施工技术方案，工艺先进，方法科学合理，方案可靠、经济、安全、切实可行、措施得力。 </w:t>
            </w:r>
          </w:p>
          <w:p>
            <w:pPr>
              <w:spacing w:line="420" w:lineRule="exact"/>
              <w:ind w:firstLineChars="196" w:firstLine="412"/>
              <w:jc w:val="left"/>
              <w:outlineLvl w:val="0"/>
              <w:rPr>
                <w:rFonts w:ascii="宋体" w:hint="eastAsia"/>
              </w:rPr>
            </w:pPr>
            <w:r>
              <w:rPr>
                <w:rFonts w:ascii="宋体" w:hint="eastAsia"/>
              </w:rPr>
              <w:t xml:space="preserve">良（1.1-3分）：施工总体安排合理，对施工难点有先进和合理的建议；施工技术方案较详尽，工艺先进、方法科学合理、基本可行，能指导具体施工并确保安全。 </w:t>
            </w:r>
          </w:p>
          <w:p>
            <w:pPr>
              <w:spacing w:line="420" w:lineRule="exact"/>
              <w:ind w:firstLineChars="196" w:firstLine="412"/>
              <w:jc w:val="left"/>
              <w:outlineLvl w:val="0"/>
              <w:rPr>
                <w:rFonts w:ascii="宋体" w:cs="宋体"/>
                <w:color w:val="000000"/>
                <w:szCs w:val="21"/>
              </w:rPr>
            </w:pPr>
            <w:r>
              <w:rPr>
                <w:rFonts w:ascii="宋体" w:hint="eastAsia"/>
              </w:rPr>
              <w:t>差（0-1分）：施工总体安排合理，对施工难点无先进和合理的建议；有施工技术方案，基本可行，基本能指导具体施工并确保安全。</w:t>
            </w:r>
          </w:p>
        </w:tc>
      </w:tr>
      <w:tr>
        <w:trPr>
          <w:trHeight w:val="2177"/>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szCs w:val="21"/>
              </w:rPr>
              <w:t>2）拟投入的主要物资计划（5分）</w:t>
            </w: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196" w:firstLine="412"/>
              <w:jc w:val="left"/>
              <w:rPr>
                <w:rFonts w:ascii="宋体"/>
              </w:rPr>
            </w:pPr>
            <w:r>
              <w:rPr>
                <w:rFonts w:ascii="宋体" w:hint="eastAsia"/>
              </w:rPr>
              <w:t xml:space="preserve">优（3.1-5分）：投入的施工材料有详细的组织计划且计划周密，数量、选型配置、进场时间安排合理，完全满足施工需要。 </w:t>
            </w:r>
          </w:p>
          <w:p>
            <w:pPr>
              <w:shd w:val="clear" w:color="auto" w:fill="FFFFFF"/>
              <w:spacing w:line="420" w:lineRule="exact"/>
              <w:ind w:firstLineChars="196" w:firstLine="412"/>
              <w:jc w:val="left"/>
              <w:rPr>
                <w:rFonts w:ascii="宋体" w:hint="eastAsia"/>
              </w:rPr>
            </w:pPr>
            <w:r>
              <w:rPr>
                <w:rFonts w:ascii="宋体" w:hint="eastAsia"/>
              </w:rPr>
              <w:t xml:space="preserve">良（1.1-3分）：投入的施工材料有较详细的组织计划且计划 周密，数量、选型配置、进场时间基本安排合理，能满足施工需要。 </w:t>
            </w:r>
          </w:p>
          <w:p>
            <w:pPr>
              <w:shd w:val="clear" w:color="auto" w:fill="FFFFFF"/>
              <w:spacing w:line="420" w:lineRule="exact"/>
              <w:ind w:firstLineChars="196" w:firstLine="412"/>
              <w:jc w:val="left"/>
              <w:rPr>
                <w:rFonts w:ascii="宋体" w:cs="宋体"/>
                <w:szCs w:val="21"/>
              </w:rPr>
            </w:pPr>
            <w:r>
              <w:rPr>
                <w:rFonts w:ascii="宋体" w:hint="eastAsia"/>
              </w:rPr>
              <w:t>差（0-1分）:投入的施工材料组织无计划，进场时间安排不合理，不能满足施工需要。</w:t>
            </w:r>
          </w:p>
        </w:tc>
      </w:tr>
      <w:tr>
        <w:trPr>
          <w:trHeight w:val="2328"/>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spacing w:line="420" w:lineRule="exact"/>
              <w:jc w:val="left"/>
              <w:outlineLvl w:val="0"/>
              <w:rPr>
                <w:rFonts w:ascii="宋体" w:cs="宋体"/>
                <w:color w:val="000000"/>
                <w:szCs w:val="21"/>
              </w:rPr>
            </w:pPr>
            <w:r>
              <w:rPr>
                <w:rFonts w:ascii="宋体" w:cs="宋体" w:hint="eastAsia"/>
                <w:szCs w:val="21"/>
              </w:rPr>
              <w:t>3）拟投入的主要施工机械、设备计划（5分）</w:t>
            </w: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196" w:firstLine="412"/>
              <w:jc w:val="left"/>
              <w:rPr>
                <w:rFonts w:ascii="宋体"/>
              </w:rPr>
            </w:pPr>
            <w:r>
              <w:rPr>
                <w:rFonts w:ascii="宋体" w:hint="eastAsia"/>
              </w:rPr>
              <w:t xml:space="preserve">优（3.1-5分）：投入的施工机械、设备、机具有详细的组织计划且计划周密；采用先进机械设备且配置合理、先进，满足安全技术规范和施工进度需要。 </w:t>
            </w:r>
          </w:p>
          <w:p>
            <w:pPr>
              <w:shd w:val="clear" w:color="auto" w:fill="FFFFFF"/>
              <w:spacing w:line="420" w:lineRule="exact"/>
              <w:ind w:firstLineChars="196" w:firstLine="412"/>
              <w:jc w:val="left"/>
              <w:rPr>
                <w:rFonts w:ascii="宋体" w:hint="eastAsia"/>
              </w:rPr>
            </w:pPr>
            <w:r>
              <w:rPr>
                <w:rFonts w:ascii="宋体" w:hint="eastAsia"/>
              </w:rPr>
              <w:t xml:space="preserve">良（1.1-3分）：投入的施工机械、设备、机具有组织计划且计划较周密；机械设备配置合理，满足安全技术规范和施工进度需要。 </w:t>
            </w:r>
          </w:p>
          <w:p>
            <w:pPr>
              <w:shd w:val="clear" w:color="auto" w:fill="FFFFFF"/>
              <w:spacing w:line="420" w:lineRule="exact"/>
              <w:ind w:firstLineChars="196" w:firstLine="412"/>
              <w:jc w:val="left"/>
              <w:rPr>
                <w:rFonts w:ascii="宋体" w:cs="宋体"/>
                <w:szCs w:val="21"/>
              </w:rPr>
            </w:pPr>
            <w:r>
              <w:rPr>
                <w:rFonts w:ascii="宋体" w:hint="eastAsia"/>
              </w:rPr>
              <w:t>差（0-1分）：投入的施工机械、设备、机具无组织计划，机械设备配置不合理，不能满足安全技术规范和施工进度需要。</w:t>
            </w:r>
          </w:p>
        </w:tc>
      </w:tr>
      <w:tr>
        <w:trPr>
          <w:trHeight w:val="2574"/>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spacing w:line="420" w:lineRule="exact"/>
              <w:jc w:val="left"/>
              <w:outlineLvl w:val="0"/>
              <w:rPr>
                <w:rFonts w:ascii="宋体" w:cs="宋体"/>
                <w:szCs w:val="21"/>
              </w:rPr>
            </w:pPr>
            <w:r>
              <w:rPr>
                <w:rFonts w:ascii="宋体" w:cs="宋体" w:hint="eastAsia"/>
                <w:szCs w:val="21"/>
              </w:rPr>
              <w:t>4）劳动力安排计划（5分）</w:t>
            </w:r>
          </w:p>
          <w:p>
            <w:pPr>
              <w:widowControl/>
              <w:spacing w:line="400" w:lineRule="exact"/>
              <w:jc w:val="center"/>
              <w:textAlignment w:val="center"/>
              <w:rPr>
                <w:rFonts w:ascii="宋体" w:cs="宋体"/>
                <w:color w:val="000000"/>
                <w:szCs w:val="21"/>
              </w:rPr>
            </w:pP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196" w:firstLine="412"/>
              <w:jc w:val="left"/>
              <w:rPr>
                <w:rFonts w:ascii="宋体"/>
              </w:rPr>
            </w:pPr>
            <w:r>
              <w:rPr>
                <w:rFonts w:ascii="宋体" w:hint="eastAsia"/>
              </w:rPr>
              <w:t xml:space="preserve">优(3.1-5分):各主要施工工序有详细周密的劳动力安排计划，有各工种劳动力安排计划，劳动力投入合理，完全满足施工需要。 </w:t>
            </w:r>
          </w:p>
          <w:p>
            <w:pPr>
              <w:shd w:val="clear" w:color="auto" w:fill="FFFFFF"/>
              <w:spacing w:line="420" w:lineRule="exact"/>
              <w:ind w:firstLineChars="196" w:firstLine="412"/>
              <w:jc w:val="left"/>
              <w:rPr>
                <w:rFonts w:ascii="宋体" w:hint="eastAsia"/>
              </w:rPr>
            </w:pPr>
            <w:r>
              <w:rPr>
                <w:rFonts w:ascii="宋体" w:hint="eastAsia"/>
              </w:rPr>
              <w:t xml:space="preserve">良（1.1-3分）：各主要施工工序有较详细周密的劳动力安排计划，有各工种劳动力安排计划，劳 动力投入比较合理，能满足施工需要。 </w:t>
            </w:r>
          </w:p>
          <w:p>
            <w:pPr>
              <w:shd w:val="clear" w:color="auto" w:fill="FFFFFF"/>
              <w:spacing w:line="420" w:lineRule="exact"/>
              <w:ind w:firstLineChars="196" w:firstLine="412"/>
              <w:jc w:val="left"/>
              <w:rPr>
                <w:rFonts w:ascii="宋体" w:cs="宋体"/>
                <w:szCs w:val="21"/>
              </w:rPr>
            </w:pPr>
            <w:r>
              <w:rPr>
                <w:rFonts w:ascii="宋体" w:hint="eastAsia"/>
              </w:rPr>
              <w:t>差（0-1分）：各主要施工工序有劳动力安排计划，无各工种劳动力安排计划，劳动力投入不合理，不能满足施工需要。</w:t>
            </w:r>
          </w:p>
        </w:tc>
      </w:tr>
      <w:tr>
        <w:trPr>
          <w:trHeight w:val="3392"/>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nil"/>
              <w:right w:val="single" w:sz="4" w:space="0" w:color="000000"/>
            </w:tcBorders>
            <w:vAlign w:val="center"/>
          </w:tcPr>
          <w:p>
            <w:pPr>
              <w:spacing w:line="420" w:lineRule="exact"/>
              <w:jc w:val="left"/>
              <w:outlineLvl w:val="0"/>
              <w:rPr>
                <w:rFonts w:ascii="宋体" w:cs="宋体"/>
                <w:szCs w:val="21"/>
              </w:rPr>
            </w:pPr>
            <w:r>
              <w:rPr>
                <w:rFonts w:ascii="宋体" w:cs="宋体" w:hint="eastAsia"/>
                <w:szCs w:val="21"/>
              </w:rPr>
              <w:t>5）确保工程质量的技术组织措施（5分）</w:t>
            </w:r>
          </w:p>
          <w:p>
            <w:pPr>
              <w:spacing w:line="400" w:lineRule="exact"/>
              <w:jc w:val="center"/>
              <w:textAlignment w:val="center"/>
              <w:rPr>
                <w:rFonts w:ascii="宋体" w:cs="宋体"/>
                <w:szCs w:val="21"/>
              </w:rPr>
            </w:pPr>
          </w:p>
        </w:tc>
        <w:tc>
          <w:tcPr>
            <w:tcW w:w="6800" w:type="dxa"/>
            <w:tcBorders>
              <w:top w:val="single" w:sz="4" w:space="0" w:color="auto"/>
              <w:left w:val="single" w:sz="4" w:space="0" w:color="000000"/>
              <w:bottom w:val="nil"/>
              <w:right w:val="single" w:sz="4" w:space="0" w:color="000000"/>
            </w:tcBorders>
            <w:vAlign w:val="center"/>
          </w:tcPr>
          <w:p>
            <w:pPr>
              <w:shd w:val="clear" w:color="auto" w:fill="FFFFFF"/>
              <w:spacing w:line="420" w:lineRule="exact"/>
              <w:ind w:firstLineChars="196" w:firstLine="412"/>
              <w:jc w:val="left"/>
              <w:rPr>
                <w:rFonts w:ascii="宋体" w:cs="宋体"/>
                <w:szCs w:val="21"/>
              </w:rPr>
            </w:pPr>
            <w:r>
              <w:rPr>
                <w:rFonts w:ascii="宋体" w:hint="eastAsia"/>
              </w:rPr>
              <w:t xml:space="preserve">优（3.1-5分）：有专门的质量技术管理班子和制度，且人员配备合理，制度健全。主要工序有质量技术保证措施和手段，自控体系完整，能有效保证技术质量，完全能达到承诺的质量 标准。 </w:t>
            </w:r>
          </w:p>
          <w:p>
            <w:pPr>
              <w:shd w:val="clear" w:color="auto" w:fill="FFFFFF"/>
              <w:spacing w:line="420" w:lineRule="exact"/>
              <w:ind w:firstLineChars="196" w:firstLine="412"/>
              <w:jc w:val="left"/>
              <w:rPr>
                <w:rFonts w:ascii="宋体" w:hint="eastAsia"/>
              </w:rPr>
            </w:pPr>
            <w:r>
              <w:rPr>
                <w:rFonts w:ascii="宋体" w:hint="eastAsia"/>
              </w:rPr>
              <w:t xml:space="preserve">良（1.1-3分）：有专门的质量技术管理班子和制度，且人员配备比较合理，制度较 健全。主要工序有较好的质量技术保证措施和手段，自控体系较完整，能有效保证技术质量，能达到承诺的质量标准。 </w:t>
            </w:r>
          </w:p>
          <w:p>
            <w:pPr>
              <w:shd w:val="clear" w:color="auto" w:fill="FFFFFF"/>
              <w:spacing w:line="420" w:lineRule="exact"/>
              <w:ind w:firstLineChars="196" w:firstLine="412"/>
              <w:jc w:val="left"/>
              <w:rPr>
                <w:rFonts w:ascii="宋体"/>
              </w:rPr>
            </w:pPr>
            <w:r>
              <w:rPr>
                <w:rFonts w:ascii="宋体" w:hint="eastAsia"/>
              </w:rPr>
              <w:t>差（0-1分）：有专门质量技术管理班子和制度，但人员配备不合理，制度不健全。有主要工序的质量技术保证措施和手段，自控体系不完整，不能保证技术质量。</w:t>
            </w:r>
          </w:p>
        </w:tc>
      </w:tr>
      <w:tr>
        <w:trPr>
          <w:trHeight w:val="3290"/>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spacing w:line="420" w:lineRule="exact"/>
              <w:jc w:val="left"/>
              <w:outlineLvl w:val="0"/>
              <w:rPr>
                <w:rFonts w:ascii="宋体" w:cs="宋体"/>
                <w:szCs w:val="21"/>
              </w:rPr>
            </w:pPr>
            <w:r>
              <w:rPr>
                <w:rFonts w:ascii="宋体" w:cs="宋体" w:hint="eastAsia"/>
                <w:szCs w:val="21"/>
              </w:rPr>
              <w:t>6）确保安全生产的技术组织措施（5分）</w:t>
            </w:r>
          </w:p>
          <w:p>
            <w:pPr>
              <w:widowControl/>
              <w:spacing w:line="400" w:lineRule="exact"/>
              <w:jc w:val="center"/>
              <w:textAlignment w:val="center"/>
              <w:rPr>
                <w:rFonts w:ascii="宋体" w:cs="宋体"/>
                <w:color w:val="000000"/>
                <w:szCs w:val="21"/>
              </w:rPr>
            </w:pP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196" w:firstLine="412"/>
              <w:jc w:val="left"/>
              <w:rPr>
                <w:rFonts w:ascii="宋体"/>
              </w:rPr>
            </w:pPr>
            <w:r>
              <w:rPr>
                <w:rFonts w:ascii="宋体" w:hint="eastAsia"/>
              </w:rPr>
              <w:t xml:space="preserve">优（3.1-5）分：有专门的安全管理人员和制度，且人员配备合理，制度健全，各道工序安全技 术措施针对性强，完全符合实际且能满足有关 安全技术标准要求。现场防火、应急救援、社 会治安安全措施得力。 </w:t>
            </w:r>
          </w:p>
          <w:p>
            <w:pPr>
              <w:shd w:val="clear" w:color="auto" w:fill="FFFFFF"/>
              <w:spacing w:line="420" w:lineRule="exact"/>
              <w:ind w:firstLineChars="196" w:firstLine="412"/>
              <w:jc w:val="left"/>
              <w:rPr>
                <w:rFonts w:ascii="宋体" w:hint="eastAsia"/>
              </w:rPr>
            </w:pPr>
            <w:r>
              <w:rPr>
                <w:rFonts w:ascii="宋体" w:hint="eastAsia"/>
              </w:rPr>
              <w:t xml:space="preserve">良（1.1-3分）：有专门的安全管理人员和制度，且人员配备较合理，制度较健全，各道工序安全技术措施针对性比较强，符合实际且能满足有关安全技术标准要求。现场防火、应急救援、社会治安安全措施得力。 </w:t>
            </w:r>
          </w:p>
          <w:p>
            <w:pPr>
              <w:shd w:val="clear" w:color="auto" w:fill="FFFFFF"/>
              <w:spacing w:line="420" w:lineRule="exact"/>
              <w:ind w:firstLineChars="196" w:firstLine="412"/>
              <w:jc w:val="left"/>
              <w:rPr>
                <w:rFonts w:ascii="宋体"/>
              </w:rPr>
            </w:pPr>
            <w:r>
              <w:rPr>
                <w:rFonts w:ascii="宋体" w:hint="eastAsia"/>
              </w:rPr>
              <w:t>差（0-1分）：有专门的安全管理人员和制度，但人员配备不合理，制度不健全，有各道工序安全技术措施，但不符合实际且不能满足有关安全技术标准要求。无现场防火、应急救援、社会治安安全措施。</w:t>
            </w:r>
          </w:p>
        </w:tc>
      </w:tr>
      <w:tr>
        <w:trPr>
          <w:trHeight w:val="4098"/>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spacing w:line="420" w:lineRule="exact"/>
              <w:jc w:val="left"/>
              <w:outlineLvl w:val="0"/>
              <w:rPr>
                <w:rFonts w:ascii="宋体" w:cs="宋体"/>
                <w:szCs w:val="21"/>
              </w:rPr>
            </w:pPr>
            <w:r>
              <w:rPr>
                <w:rFonts w:ascii="宋体" w:cs="宋体" w:hint="eastAsia"/>
                <w:szCs w:val="21"/>
              </w:rPr>
              <w:t>7）确保工期的技术组织措施（5分）</w:t>
            </w:r>
          </w:p>
          <w:p>
            <w:pPr>
              <w:widowControl/>
              <w:spacing w:line="400" w:lineRule="exact"/>
              <w:jc w:val="center"/>
              <w:textAlignment w:val="center"/>
              <w:rPr>
                <w:rFonts w:ascii="宋体" w:cs="宋体"/>
                <w:color w:val="000000"/>
                <w:szCs w:val="21"/>
              </w:rPr>
            </w:pP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196" w:firstLine="412"/>
              <w:jc w:val="left"/>
              <w:rPr>
                <w:rFonts w:ascii="宋体"/>
              </w:rPr>
            </w:pPr>
            <w:r>
              <w:rPr>
                <w:rFonts w:ascii="宋体" w:hint="eastAsia"/>
              </w:rPr>
              <w:t xml:space="preserve">优（3.1-5分）：在施工工艺、施工方法、材料 选用、劳动力安排、技术等方面有保证工期的 具体措施且措施得当。有控制工期的施工进度 计划。有施工总进度表或施工网络图，各项计 划图表编制完善，安排科学合理，优于本项目 施工实际要求。 </w:t>
            </w:r>
          </w:p>
          <w:p>
            <w:pPr>
              <w:shd w:val="clear" w:color="auto" w:fill="FFFFFF"/>
              <w:spacing w:line="420" w:lineRule="exact"/>
              <w:ind w:firstLineChars="196" w:firstLine="412"/>
              <w:jc w:val="left"/>
              <w:rPr>
                <w:rFonts w:ascii="宋体" w:hint="eastAsia"/>
              </w:rPr>
            </w:pPr>
            <w:r>
              <w:rPr>
                <w:rFonts w:ascii="宋体" w:hint="eastAsia"/>
              </w:rPr>
              <w:t xml:space="preserve">良（1.1-3分）：在施工工艺、施工方法、材料选用、劳动力安排、技术等方面有较好的保证工期的具体措施且措施比较得当。有控制工期的施工进度计划。有施工总进度表或施工网络图，各项计划图表编制完善，安排较科学合理，能满足本项目施工实际要求。 </w:t>
            </w:r>
          </w:p>
          <w:p>
            <w:pPr>
              <w:shd w:val="clear" w:color="auto" w:fill="FFFFFF"/>
              <w:spacing w:line="420" w:lineRule="exact"/>
              <w:ind w:firstLineChars="196" w:firstLine="412"/>
              <w:jc w:val="left"/>
              <w:rPr>
                <w:rFonts w:ascii="宋体"/>
              </w:rPr>
            </w:pPr>
            <w:r>
              <w:rPr>
                <w:rFonts w:ascii="宋体" w:hint="eastAsia"/>
              </w:rPr>
              <w:t>差（0-1分）：在施工工艺、施工方法、材料选用、劳动力安排、技术等方面无保证工期的措施。无控制工期的施工进度计划。</w:t>
            </w:r>
          </w:p>
        </w:tc>
      </w:tr>
      <w:tr>
        <w:trPr>
          <w:trHeight w:val="1833"/>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spacing w:line="420" w:lineRule="exact"/>
              <w:jc w:val="left"/>
              <w:outlineLvl w:val="0"/>
              <w:rPr>
                <w:rFonts w:ascii="宋体" w:cs="宋体"/>
                <w:szCs w:val="21"/>
              </w:rPr>
            </w:pPr>
            <w:r>
              <w:rPr>
                <w:rFonts w:ascii="宋体" w:cs="宋体" w:hint="eastAsia"/>
                <w:szCs w:val="21"/>
              </w:rPr>
              <w:t>8）确保文明施工的技术组织措施（5分）</w:t>
            </w:r>
          </w:p>
          <w:p>
            <w:pPr>
              <w:widowControl/>
              <w:spacing w:line="400" w:lineRule="exact"/>
              <w:jc w:val="center"/>
              <w:textAlignment w:val="center"/>
              <w:rPr>
                <w:rFonts w:ascii="宋体" w:cs="宋体"/>
                <w:color w:val="000000"/>
                <w:szCs w:val="21"/>
              </w:rPr>
            </w:pP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200" w:firstLine="420"/>
              <w:jc w:val="left"/>
              <w:rPr>
                <w:rFonts w:ascii="宋体"/>
              </w:rPr>
            </w:pPr>
            <w:r>
              <w:rPr>
                <w:rFonts w:ascii="宋体" w:hint="eastAsia"/>
              </w:rPr>
              <w:t xml:space="preserve">优（3.1-5分）：针对本项目实际情况及特点，有先进、具体、完整、可行的现场文明施工、环境保护措施；各项措施周全、具体、有效；有具体实现现场文明施工目标的承诺。 </w:t>
            </w:r>
          </w:p>
          <w:p>
            <w:pPr>
              <w:shd w:val="clear" w:color="auto" w:fill="FFFFFF"/>
              <w:spacing w:line="420" w:lineRule="exact"/>
              <w:ind w:firstLineChars="200" w:firstLine="420"/>
              <w:jc w:val="left"/>
              <w:rPr>
                <w:rFonts w:ascii="宋体" w:hint="eastAsia"/>
              </w:rPr>
            </w:pPr>
            <w:r>
              <w:rPr>
                <w:rFonts w:ascii="宋体" w:hint="eastAsia"/>
              </w:rPr>
              <w:t xml:space="preserve">良（1.1-3分）：针对本项目实际情况及特点，有合理的现场文明施工、环境保护措施；各项措施基本周全、 具体、有效；有具体实现现场文明施工目标的 承诺。 </w:t>
            </w:r>
          </w:p>
          <w:p>
            <w:pPr>
              <w:shd w:val="clear" w:color="auto" w:fill="FFFFFF"/>
              <w:spacing w:line="420" w:lineRule="exact"/>
              <w:ind w:firstLineChars="200" w:firstLine="420"/>
              <w:jc w:val="left"/>
              <w:rPr>
                <w:rFonts w:ascii="宋体" w:cs="宋体"/>
                <w:szCs w:val="21"/>
              </w:rPr>
            </w:pPr>
            <w:r>
              <w:rPr>
                <w:rFonts w:ascii="宋体" w:hint="eastAsia"/>
              </w:rPr>
              <w:t>差（0-1分）：针对本项目实际情况及特点，有基本的现场文明施工措施；创文明工地目标不明确，临时设施、现场道路、材料堆放等基本符合有关文明施工、健康卫生规定；现场文明施工目标的承诺内容不明确。</w:t>
            </w:r>
          </w:p>
        </w:tc>
      </w:tr>
      <w:tr>
        <w:trPr>
          <w:trHeight w:val="1864"/>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szCs w:val="21"/>
              </w:rPr>
              <w:t>9）工程施工的重点和难点及保证措施（5分）</w:t>
            </w:r>
          </w:p>
        </w:tc>
        <w:tc>
          <w:tcPr>
            <w:tcW w:w="6800" w:type="dxa"/>
            <w:tcBorders>
              <w:top w:val="single" w:sz="4" w:space="0" w:color="auto"/>
              <w:left w:val="single" w:sz="4" w:space="0" w:color="000000"/>
              <w:bottom w:val="single" w:sz="4" w:space="0" w:color="auto"/>
              <w:right w:val="single" w:sz="4" w:space="0" w:color="000000"/>
            </w:tcBorders>
            <w:vAlign w:val="center"/>
          </w:tcPr>
          <w:p>
            <w:pPr>
              <w:spacing w:line="380" w:lineRule="exact"/>
              <w:ind w:firstLineChars="200" w:firstLine="420"/>
              <w:jc w:val="left"/>
              <w:rPr>
                <w:rFonts w:ascii="宋体"/>
              </w:rPr>
            </w:pPr>
            <w:r>
              <w:rPr>
                <w:rFonts w:ascii="宋体" w:hint="eastAsia"/>
              </w:rPr>
              <w:t xml:space="preserve">优（3.1-5分）：针对本工程的特点，阐述本工 程的重点和难点清晰、合理，有解决重点和难点问题的方法具体、合理、可行。 </w:t>
            </w:r>
          </w:p>
          <w:p>
            <w:pPr>
              <w:spacing w:line="380" w:lineRule="exact"/>
              <w:ind w:firstLineChars="200" w:firstLine="420"/>
              <w:jc w:val="left"/>
              <w:rPr>
                <w:rFonts w:ascii="宋体" w:hint="eastAsia"/>
              </w:rPr>
            </w:pPr>
            <w:r>
              <w:rPr>
                <w:rFonts w:ascii="宋体" w:hint="eastAsia"/>
              </w:rPr>
              <w:t xml:space="preserve">良（1.1-3分）：针对本工程的特点，阐述本工程的重点和难点较清晰、合理，有解决重点和难点问题的方法，较具体、可行。 </w:t>
            </w:r>
          </w:p>
          <w:p>
            <w:pPr>
              <w:spacing w:line="380" w:lineRule="exact"/>
              <w:ind w:firstLineChars="200" w:firstLine="420"/>
              <w:jc w:val="left"/>
              <w:rPr>
                <w:rFonts w:ascii="宋体"/>
              </w:rPr>
            </w:pPr>
            <w:r>
              <w:rPr>
                <w:rFonts w:ascii="宋体" w:hint="eastAsia"/>
              </w:rPr>
              <w:t>差（0-1分）针对本工程的特点，阐述本工程的重点和难点不清晰、不合理，无解决重点和难点问题的方法。</w:t>
            </w:r>
          </w:p>
        </w:tc>
      </w:tr>
      <w:tr>
        <w:trPr>
          <w:trHeight w:val="2046"/>
        </w:trPr>
        <w:tc>
          <w:tcPr>
            <w:tcW w:w="567" w:type="dxa"/>
            <w:vMerge/>
            <w:tcBorders>
              <w:top w:val="single" w:sz="4" w:space="0" w:color="000000"/>
              <w:left w:val="single" w:sz="4" w:space="0" w:color="000000"/>
              <w:bottom w:val="nil"/>
              <w:right w:val="single" w:sz="4" w:space="0" w:color="000000"/>
            </w:tcBorders>
            <w:vAlign w:val="center"/>
          </w:tcPr>
          <w:p/>
        </w:tc>
        <w:tc>
          <w:tcPr>
            <w:tcW w:w="2380" w:type="dxa"/>
            <w:vMerge/>
            <w:tcBorders>
              <w:top w:val="single" w:sz="4" w:space="0" w:color="000000"/>
              <w:left w:val="single" w:sz="4" w:space="0" w:color="000000"/>
              <w:bottom w:val="nil"/>
              <w:right w:val="single" w:sz="4" w:space="0" w:color="auto"/>
            </w:tcBorders>
            <w:vAlign w:val="center"/>
          </w:tcPr>
          <w:p/>
        </w:tc>
        <w:tc>
          <w:tcPr>
            <w:tcW w:w="1706" w:type="dxa"/>
            <w:vMerge/>
            <w:tcBorders>
              <w:top w:val="single" w:sz="4" w:space="0" w:color="000000"/>
              <w:left w:val="single" w:sz="4" w:space="0" w:color="auto"/>
              <w:bottom w:val="nil"/>
              <w:right w:val="single" w:sz="4" w:space="0" w:color="auto"/>
            </w:tcBorders>
            <w:vAlign w:val="center"/>
          </w:tcPr>
          <w:p/>
        </w:tc>
        <w:tc>
          <w:tcPr>
            <w:tcW w:w="992" w:type="dxa"/>
            <w:tcBorders>
              <w:top w:val="single" w:sz="4" w:space="0" w:color="auto"/>
              <w:left w:val="single" w:sz="4" w:space="0" w:color="auto"/>
              <w:bottom w:val="single" w:sz="4" w:space="0" w:color="auto"/>
              <w:right w:val="single" w:sz="4" w:space="0" w:color="000000"/>
            </w:tcBorders>
            <w:vAlign w:val="center"/>
          </w:tcPr>
          <w:p>
            <w:pPr>
              <w:widowControl/>
              <w:spacing w:line="400" w:lineRule="exact"/>
              <w:jc w:val="center"/>
              <w:textAlignment w:val="center"/>
              <w:rPr>
                <w:rFonts w:ascii="宋体" w:cs="宋体"/>
                <w:color w:val="000000"/>
                <w:szCs w:val="21"/>
              </w:rPr>
            </w:pPr>
            <w:r>
              <w:rPr>
                <w:rFonts w:ascii="宋体" w:cs="宋体" w:hint="eastAsia"/>
                <w:szCs w:val="21"/>
              </w:rPr>
              <w:t>10）施工总平面布置图（3分）</w:t>
            </w:r>
          </w:p>
        </w:tc>
        <w:tc>
          <w:tcPr>
            <w:tcW w:w="6800" w:type="dxa"/>
            <w:tcBorders>
              <w:top w:val="single" w:sz="4" w:space="0" w:color="auto"/>
              <w:left w:val="single" w:sz="4" w:space="0" w:color="000000"/>
              <w:bottom w:val="single" w:sz="4" w:space="0" w:color="auto"/>
              <w:right w:val="single" w:sz="4" w:space="0" w:color="000000"/>
            </w:tcBorders>
            <w:vAlign w:val="center"/>
          </w:tcPr>
          <w:p>
            <w:pPr>
              <w:shd w:val="clear" w:color="auto" w:fill="FFFFFF"/>
              <w:spacing w:line="420" w:lineRule="exact"/>
              <w:ind w:firstLineChars="200" w:firstLine="420"/>
              <w:jc w:val="left"/>
              <w:rPr>
                <w:rFonts w:ascii="宋体"/>
              </w:rPr>
            </w:pPr>
            <w:r>
              <w:rPr>
                <w:rFonts w:ascii="宋体" w:hint="eastAsia"/>
              </w:rPr>
              <w:t xml:space="preserve">优（1.6-3分）：有施工总平面布置图，安排科学合理，符合本项目施工实际要求。 </w:t>
            </w:r>
          </w:p>
          <w:p>
            <w:pPr>
              <w:shd w:val="clear" w:color="auto" w:fill="FFFFFF"/>
              <w:spacing w:line="420" w:lineRule="exact"/>
              <w:ind w:firstLineChars="200" w:firstLine="420"/>
              <w:jc w:val="left"/>
              <w:rPr>
                <w:rFonts w:ascii="宋体" w:hint="eastAsia"/>
              </w:rPr>
            </w:pPr>
            <w:r>
              <w:rPr>
                <w:rFonts w:ascii="宋体" w:hint="eastAsia"/>
              </w:rPr>
              <w:t xml:space="preserve">良（0.1-1.5分）：有施工总平面布置图，安排基本合理，基本符合本项目施工实际要求。 </w:t>
            </w:r>
          </w:p>
          <w:p>
            <w:pPr>
              <w:spacing w:line="420" w:lineRule="exact"/>
              <w:ind w:firstLineChars="100" w:firstLine="210"/>
              <w:jc w:val="left"/>
              <w:outlineLvl w:val="0"/>
              <w:rPr>
                <w:rFonts w:ascii="宋体" w:cs="宋体"/>
                <w:szCs w:val="21"/>
              </w:rPr>
            </w:pPr>
            <w:r>
              <w:rPr>
                <w:rFonts w:ascii="宋体" w:hint="eastAsia"/>
              </w:rPr>
              <w:t>差（0 分）：无施工总平面布置图，安排不合理，不符合本项目施工实际要求。</w:t>
            </w:r>
          </w:p>
        </w:tc>
      </w:tr>
      <w:tr>
        <w:trPr>
          <w:trHeight w:val="960"/>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color w:val="000000"/>
                <w:kern w:val="0"/>
                <w:szCs w:val="21"/>
              </w:rPr>
            </w:pPr>
            <w:r>
              <w:rPr>
                <w:rFonts w:ascii="宋体" w:cs="宋体" w:hint="eastAsia"/>
                <w:color w:val="000000"/>
                <w:kern w:val="0"/>
                <w:szCs w:val="21"/>
              </w:rPr>
              <w:t>3</w:t>
            </w:r>
          </w:p>
        </w:tc>
        <w:tc>
          <w:tcPr>
            <w:tcW w:w="674" w:type="dxa"/>
            <w:vMerge w:val="restart"/>
            <w:tcBorders>
              <w:top w:val="single" w:sz="4" w:space="0" w:color="000000"/>
              <w:left w:val="single" w:sz="4" w:space="0" w:color="000000"/>
              <w:bottom w:val="single" w:sz="4" w:space="0" w:color="000000"/>
              <w:right w:val="single" w:sz="4" w:space="0" w:color="auto"/>
            </w:tcBorders>
            <w:vAlign w:val="center"/>
          </w:tcPr>
          <w:p>
            <w:pPr>
              <w:widowControl/>
              <w:spacing w:line="400" w:lineRule="exact"/>
              <w:jc w:val="center"/>
              <w:textAlignment w:val="center"/>
              <w:rPr>
                <w:rFonts w:ascii="宋体" w:cs="宋体"/>
                <w:color w:val="000000"/>
                <w:kern w:val="0"/>
                <w:szCs w:val="21"/>
              </w:rPr>
            </w:pPr>
            <w:r>
              <w:rPr>
                <w:rFonts w:ascii="宋体" w:hint="eastAsia"/>
                <w:szCs w:val="21"/>
              </w:rPr>
              <w:t>资信商务分</w:t>
            </w:r>
          </w:p>
          <w:p>
            <w:pPr>
              <w:widowControl/>
              <w:spacing w:line="400" w:lineRule="exact"/>
              <w:jc w:val="center"/>
              <w:textAlignment w:val="center"/>
              <w:rPr>
                <w:rFonts w:ascii="宋体" w:cs="宋体"/>
                <w:color w:val="000000"/>
                <w:kern w:val="0"/>
                <w:szCs w:val="21"/>
              </w:rPr>
            </w:pPr>
            <w:r>
              <w:rPr>
                <w:rFonts w:ascii="宋体" w:cs="宋体" w:hint="eastAsia"/>
                <w:color w:val="000000"/>
                <w:kern w:val="0"/>
                <w:szCs w:val="21"/>
              </w:rPr>
              <w:t>（10分）</w:t>
            </w:r>
          </w:p>
        </w:tc>
        <w:tc>
          <w:tcPr>
            <w:tcW w:w="1706" w:type="dxa"/>
            <w:gridSpan w:val="2"/>
            <w:tcBorders>
              <w:top w:val="single" w:sz="4" w:space="0" w:color="000000"/>
              <w:left w:val="single" w:sz="4" w:space="0" w:color="000000"/>
              <w:bottom w:val="single" w:sz="4" w:space="0" w:color="auto"/>
              <w:right w:val="single" w:sz="4" w:space="0" w:color="000000"/>
            </w:tcBorders>
            <w:vAlign w:val="center"/>
          </w:tcPr>
          <w:p>
            <w:pPr>
              <w:widowControl/>
              <w:spacing w:line="400" w:lineRule="exact"/>
              <w:jc w:val="center"/>
              <w:textAlignment w:val="center"/>
              <w:rPr>
                <w:rFonts w:ascii="宋体" w:cs="宋体"/>
                <w:bCs/>
                <w:szCs w:val="21"/>
              </w:rPr>
            </w:pPr>
            <w:r>
              <w:rPr>
                <w:rFonts w:ascii="宋体" w:cs="宋体" w:hint="eastAsia"/>
                <w:bCs/>
                <w:szCs w:val="21"/>
              </w:rPr>
              <w:t>企业业绩</w:t>
            </w:r>
          </w:p>
          <w:p>
            <w:pPr>
              <w:widowControl/>
              <w:spacing w:line="400" w:lineRule="exact"/>
              <w:jc w:val="center"/>
              <w:textAlignment w:val="center"/>
              <w:rPr>
                <w:rFonts w:ascii="宋体" w:cs="宋体"/>
                <w:color w:val="000000"/>
                <w:kern w:val="0"/>
                <w:szCs w:val="21"/>
              </w:rPr>
            </w:pPr>
            <w:r>
              <w:rPr>
                <w:rFonts w:ascii="宋体" w:cs="宋体" w:hint="eastAsia"/>
                <w:bCs/>
                <w:szCs w:val="21"/>
              </w:rPr>
              <w:t>（6分）</w:t>
            </w:r>
          </w:p>
        </w:tc>
        <w:tc>
          <w:tcPr>
            <w:tcW w:w="6800" w:type="dxa"/>
            <w:tcBorders>
              <w:top w:val="single" w:sz="4" w:space="0" w:color="000000"/>
              <w:left w:val="single" w:sz="4" w:space="0" w:color="000000"/>
              <w:bottom w:val="single" w:sz="4" w:space="0" w:color="auto"/>
              <w:right w:val="single" w:sz="4" w:space="0" w:color="000000"/>
            </w:tcBorders>
            <w:vAlign w:val="center"/>
          </w:tcPr>
          <w:p>
            <w:pPr>
              <w:tabs>
                <w:tab w:val="left" w:pos="3204"/>
              </w:tabs>
              <w:spacing w:line="400" w:lineRule="exact"/>
              <w:rPr>
                <w:rFonts w:ascii="宋体" w:cs="宋体"/>
                <w:kern w:val="0"/>
                <w:szCs w:val="21"/>
              </w:rPr>
            </w:pPr>
            <w:r>
              <w:rPr>
                <w:rFonts w:ascii="宋体" w:cs="宋体" w:hint="eastAsia"/>
                <w:bCs/>
                <w:szCs w:val="21"/>
              </w:rPr>
              <w:t>2019 年1月至投标截止日前，完成过单项合同金额150万元及以上</w:t>
            </w:r>
            <w:r>
              <w:rPr>
                <w:rFonts w:ascii="宋体" w:cs="宋体" w:hint="eastAsia"/>
                <w:szCs w:val="21"/>
              </w:rPr>
              <w:t>类似建筑工程或建筑装饰装修工程</w:t>
            </w:r>
            <w:r>
              <w:rPr>
                <w:rFonts w:ascii="宋体" w:cs="宋体" w:hint="eastAsia"/>
                <w:bCs/>
                <w:szCs w:val="21"/>
              </w:rPr>
              <w:t>项目的，每个得2分，此项满分6分。（附中标通知书或施工合同（协议）或竣工验收报告复印件）</w:t>
            </w:r>
          </w:p>
        </w:tc>
      </w:tr>
      <w:tr>
        <w:trPr>
          <w:trHeight w:val="412"/>
        </w:trPr>
        <w:tc>
          <w:tcPr>
            <w:tcW w:w="567"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auto"/>
            </w:tcBorders>
            <w:vAlign w:val="center"/>
          </w:tcPr>
          <w:p/>
        </w:tc>
        <w:tc>
          <w:tcPr>
            <w:tcW w:w="1706" w:type="dxa"/>
            <w:gridSpan w:val="2"/>
            <w:tcBorders>
              <w:top w:val="single" w:sz="4" w:space="0" w:color="auto"/>
              <w:left w:val="single" w:sz="4" w:space="0" w:color="000000"/>
              <w:bottom w:val="single" w:sz="4" w:space="0" w:color="auto"/>
              <w:right w:val="single" w:sz="4" w:space="0" w:color="000000"/>
            </w:tcBorders>
            <w:vAlign w:val="center"/>
          </w:tcPr>
          <w:p>
            <w:pPr>
              <w:widowControl/>
              <w:spacing w:line="400" w:lineRule="exact"/>
              <w:jc w:val="center"/>
              <w:textAlignment w:val="center"/>
              <w:rPr>
                <w:rFonts w:ascii="宋体" w:cs="宋体"/>
                <w:bCs/>
                <w:szCs w:val="21"/>
              </w:rPr>
            </w:pPr>
            <w:r>
              <w:rPr>
                <w:rFonts w:ascii="宋体" w:cs="宋体" w:hint="eastAsia"/>
                <w:bCs/>
                <w:szCs w:val="21"/>
              </w:rPr>
              <w:t>企业管理体系</w:t>
            </w:r>
          </w:p>
          <w:p>
            <w:pPr>
              <w:widowControl/>
              <w:spacing w:line="400" w:lineRule="exact"/>
              <w:jc w:val="center"/>
              <w:textAlignment w:val="center"/>
              <w:rPr>
                <w:rFonts w:ascii="宋体" w:cs="宋体"/>
                <w:color w:val="000000"/>
                <w:kern w:val="0"/>
                <w:szCs w:val="21"/>
              </w:rPr>
            </w:pPr>
            <w:r>
              <w:rPr>
                <w:rFonts w:ascii="宋体" w:cs="宋体" w:hint="eastAsia"/>
                <w:bCs/>
                <w:szCs w:val="21"/>
              </w:rPr>
              <w:t>（1分）</w:t>
            </w:r>
          </w:p>
        </w:tc>
        <w:tc>
          <w:tcPr>
            <w:tcW w:w="6800" w:type="dxa"/>
            <w:tcBorders>
              <w:top w:val="single" w:sz="4" w:space="0" w:color="auto"/>
              <w:left w:val="single" w:sz="4" w:space="0" w:color="000000"/>
              <w:bottom w:val="single" w:sz="4" w:space="0" w:color="auto"/>
              <w:right w:val="single" w:sz="4" w:space="0" w:color="000000"/>
            </w:tcBorders>
            <w:vAlign w:val="center"/>
          </w:tcPr>
          <w:p>
            <w:pPr>
              <w:tabs>
                <w:tab w:val="left" w:pos="3204"/>
              </w:tabs>
              <w:spacing w:line="400" w:lineRule="exact"/>
              <w:rPr>
                <w:rFonts w:ascii="宋体"/>
                <w:spacing w:val="6"/>
                <w:kern w:val="48"/>
              </w:rPr>
            </w:pPr>
            <w:r>
              <w:rPr>
                <w:rFonts w:ascii="宋体" w:cs="宋体" w:hint="eastAsia"/>
                <w:bCs/>
                <w:szCs w:val="21"/>
              </w:rPr>
              <w:t>企业通过ISO质量体系认证并保持有效的，得1分。</w:t>
            </w:r>
          </w:p>
        </w:tc>
      </w:tr>
      <w:tr>
        <w:trPr>
          <w:trHeight w:val="780"/>
        </w:trPr>
        <w:tc>
          <w:tcPr>
            <w:tcW w:w="567" w:type="dxa"/>
            <w:vMerge/>
            <w:tcBorders>
              <w:top w:val="single" w:sz="4" w:space="0" w:color="000000"/>
              <w:left w:val="single" w:sz="4" w:space="0" w:color="000000"/>
              <w:bottom w:val="single" w:sz="4" w:space="0" w:color="000000"/>
              <w:right w:val="single" w:sz="4" w:space="0" w:color="000000"/>
            </w:tcBorders>
            <w:vAlign w:val="center"/>
          </w:tcPr>
          <w:p/>
        </w:tc>
        <w:tc>
          <w:tcPr>
            <w:tcW w:w="2380" w:type="dxa"/>
            <w:vMerge/>
            <w:tcBorders>
              <w:top w:val="single" w:sz="4" w:space="0" w:color="000000"/>
              <w:left w:val="single" w:sz="4" w:space="0" w:color="000000"/>
              <w:bottom w:val="single" w:sz="4" w:space="0" w:color="000000"/>
              <w:right w:val="single" w:sz="4" w:space="0" w:color="auto"/>
            </w:tcBorders>
            <w:vAlign w:val="center"/>
          </w:tcPr>
          <w:p/>
        </w:tc>
        <w:tc>
          <w:tcPr>
            <w:tcW w:w="1706" w:type="dxa"/>
            <w:gridSpan w:val="2"/>
            <w:tcBorders>
              <w:top w:val="single" w:sz="4" w:space="0" w:color="auto"/>
              <w:left w:val="single" w:sz="4" w:space="0" w:color="000000"/>
              <w:bottom w:val="single" w:sz="4" w:space="0" w:color="000000"/>
              <w:right w:val="single" w:sz="4" w:space="0" w:color="000000"/>
            </w:tcBorders>
            <w:vAlign w:val="center"/>
          </w:tcPr>
          <w:p>
            <w:pPr>
              <w:widowControl/>
              <w:spacing w:line="400" w:lineRule="exact"/>
              <w:jc w:val="center"/>
              <w:textAlignment w:val="center"/>
              <w:rPr>
                <w:rFonts w:ascii="宋体" w:cs="宋体"/>
                <w:bCs/>
                <w:szCs w:val="21"/>
              </w:rPr>
            </w:pPr>
            <w:r>
              <w:rPr>
                <w:rFonts w:ascii="宋体" w:cs="宋体" w:hint="eastAsia"/>
                <w:bCs/>
                <w:szCs w:val="21"/>
              </w:rPr>
              <w:t>资质情况</w:t>
            </w:r>
          </w:p>
          <w:p>
            <w:pPr>
              <w:widowControl/>
              <w:spacing w:line="400" w:lineRule="exact"/>
              <w:jc w:val="center"/>
              <w:textAlignment w:val="center"/>
              <w:rPr>
                <w:rFonts w:ascii="宋体" w:cs="宋体"/>
                <w:color w:val="000000"/>
                <w:kern w:val="0"/>
                <w:szCs w:val="21"/>
              </w:rPr>
            </w:pPr>
            <w:r>
              <w:rPr>
                <w:rFonts w:ascii="宋体" w:cs="宋体" w:hint="eastAsia"/>
                <w:bCs/>
                <w:szCs w:val="21"/>
              </w:rPr>
              <w:t>（3分）</w:t>
            </w:r>
          </w:p>
        </w:tc>
        <w:tc>
          <w:tcPr>
            <w:tcW w:w="6800" w:type="dxa"/>
            <w:tcBorders>
              <w:top w:val="single" w:sz="4" w:space="0" w:color="auto"/>
              <w:left w:val="single" w:sz="4" w:space="0" w:color="000000"/>
              <w:bottom w:val="single" w:sz="4" w:space="0" w:color="000000"/>
              <w:right w:val="single" w:sz="4" w:space="0" w:color="000000"/>
            </w:tcBorders>
            <w:vAlign w:val="center"/>
          </w:tcPr>
          <w:p>
            <w:pPr>
              <w:spacing w:line="400" w:lineRule="exact"/>
              <w:ind w:firstLineChars="200" w:firstLine="420"/>
              <w:rPr>
                <w:rFonts w:ascii="宋体" w:cs="宋体"/>
                <w:bCs/>
                <w:szCs w:val="21"/>
              </w:rPr>
            </w:pPr>
            <w:r>
              <w:rPr>
                <w:rFonts w:ascii="宋体" w:cs="宋体" w:hint="eastAsia"/>
                <w:bCs/>
                <w:szCs w:val="21"/>
              </w:rPr>
              <w:t>具备</w:t>
            </w:r>
            <w:r>
              <w:rPr>
                <w:rFonts w:ascii="宋体" w:cs="宋体" w:hint="eastAsia"/>
                <w:szCs w:val="21"/>
              </w:rPr>
              <w:t>建筑工程</w:t>
            </w:r>
            <w:r>
              <w:rPr>
                <w:rFonts w:ascii="宋体" w:cs="宋体" w:hint="eastAsia"/>
                <w:bCs/>
                <w:szCs w:val="21"/>
                <w:lang w:val="zh-CN"/>
              </w:rPr>
              <w:t>施工总承包三级资质的</w:t>
            </w:r>
            <w:r>
              <w:rPr>
                <w:rFonts w:ascii="宋体" w:cs="宋体" w:hint="eastAsia"/>
                <w:bCs/>
                <w:szCs w:val="21"/>
              </w:rPr>
              <w:t>，得2分。</w:t>
            </w:r>
          </w:p>
          <w:p>
            <w:pPr>
              <w:spacing w:line="400" w:lineRule="exact"/>
              <w:rPr>
                <w:rFonts w:ascii="宋体"/>
                <w:spacing w:val="6"/>
                <w:kern w:val="48"/>
              </w:rPr>
            </w:pPr>
            <w:r>
              <w:rPr>
                <w:rFonts w:ascii="宋体" w:cs="宋体" w:hint="eastAsia"/>
                <w:bCs/>
                <w:szCs w:val="21"/>
              </w:rPr>
              <w:t>具备建筑</w:t>
            </w:r>
            <w:r>
              <w:rPr>
                <w:rFonts w:ascii="宋体" w:cs="宋体" w:hint="eastAsia"/>
                <w:szCs w:val="21"/>
              </w:rPr>
              <w:t>工程</w:t>
            </w:r>
            <w:r>
              <w:rPr>
                <w:rFonts w:ascii="宋体" w:cs="宋体" w:hint="eastAsia"/>
                <w:bCs/>
                <w:szCs w:val="21"/>
                <w:lang w:val="zh-CN"/>
              </w:rPr>
              <w:t>施工总承包三级以上资质的</w:t>
            </w:r>
            <w:r>
              <w:rPr>
                <w:rFonts w:ascii="宋体" w:cs="宋体" w:hint="eastAsia"/>
                <w:bCs/>
                <w:szCs w:val="21"/>
              </w:rPr>
              <w:t>，得3分。</w:t>
            </w:r>
          </w:p>
        </w:tc>
      </w:tr>
    </w:tbl>
    <w:p>
      <w:pPr>
        <w:spacing w:line="560" w:lineRule="exact"/>
        <w:rPr>
          <w:rFonts w:eastAsia="方正仿宋_GBK"/>
          <w:sz w:val="32"/>
          <w:szCs w:val="32"/>
        </w:rPr>
      </w:pPr>
    </w:p>
    <w:p>
      <w:pPr>
        <w:spacing w:line="560" w:lineRule="exact"/>
        <w:ind w:firstLineChars="100" w:firstLine="320"/>
        <w:rPr>
          <w:rFonts w:eastAsia="方正仿宋_GBK"/>
          <w:sz w:val="32"/>
          <w:szCs w:val="32"/>
        </w:rPr>
      </w:pPr>
      <w:r>
        <w:rPr>
          <w:rFonts w:eastAsia="方正仿宋_GBK"/>
          <w:sz w:val="32"/>
          <w:szCs w:val="32"/>
        </w:rPr>
        <w:t>3.成交候选人推荐原则</w:t>
      </w:r>
    </w:p>
    <w:p>
      <w:pPr>
        <w:spacing w:line="560" w:lineRule="exact"/>
        <w:ind w:firstLineChars="100" w:firstLine="320"/>
        <w:rPr>
          <w:rFonts w:eastAsia="方正仿宋_GBK"/>
          <w:sz w:val="32"/>
          <w:szCs w:val="32"/>
        </w:rPr>
      </w:pPr>
      <w:r>
        <w:rPr>
          <w:rFonts w:eastAsia="方正仿宋_GBK"/>
          <w:sz w:val="32"/>
          <w:szCs w:val="32"/>
        </w:rPr>
        <w:t xml:space="preserve">   评审小组将按总得分由高到低排列成交候选供应商顺序（总得分相同时，依次按投标报价低优先、质量保证期长优先、提交服务成果时间短优先、处理问题到达时间短优先的顺序排列），并依照次序确定成交候选人。</w:t>
      </w:r>
    </w:p>
    <w:p>
      <w:pPr>
        <w:spacing w:line="560" w:lineRule="exact"/>
        <w:rPr>
          <w:rFonts w:eastAsia="方正仿宋_GBK"/>
          <w:sz w:val="32"/>
          <w:szCs w:val="32"/>
        </w:rPr>
      </w:pPr>
      <w:r>
        <w:rPr>
          <w:rFonts w:eastAsia="方正仿宋_GBK"/>
          <w:sz w:val="32"/>
          <w:szCs w:val="32"/>
        </w:rPr>
        <w:t xml:space="preserve">    </w:t>
      </w:r>
      <w:r>
        <w:rPr>
          <w:rFonts w:eastAsia="方正黑体_GBK" w:hint="eastAsia"/>
          <w:sz w:val="32"/>
          <w:szCs w:val="32"/>
        </w:rPr>
        <w:t>五</w:t>
      </w:r>
      <w:r>
        <w:rPr>
          <w:rFonts w:eastAsia="方正黑体_GBK"/>
          <w:sz w:val="32"/>
          <w:szCs w:val="32"/>
        </w:rPr>
        <w:t>、评审地点</w:t>
      </w:r>
      <w:r>
        <w:rPr>
          <w:rFonts w:eastAsia="方正黑体_GBK" w:hint="eastAsia"/>
          <w:sz w:val="32"/>
          <w:szCs w:val="32"/>
        </w:rPr>
        <w:t>：</w:t>
      </w:r>
      <w:r>
        <w:rPr>
          <w:rFonts w:eastAsia="方正仿宋_GBK"/>
          <w:sz w:val="32"/>
          <w:szCs w:val="32"/>
        </w:rPr>
        <w:t>平孟</w:t>
      </w:r>
      <w:r>
        <w:rPr>
          <w:rFonts w:eastAsia="方正仿宋_GBK" w:hint="eastAsia"/>
          <w:sz w:val="32"/>
          <w:szCs w:val="32"/>
        </w:rPr>
        <w:t>海关</w:t>
      </w:r>
      <w:r>
        <w:rPr>
          <w:rFonts w:eastAsia="方正仿宋_GBK"/>
          <w:sz w:val="32"/>
          <w:szCs w:val="32"/>
        </w:rPr>
        <w:t>综合</w:t>
      </w:r>
      <w:r>
        <w:rPr>
          <w:rFonts w:eastAsia="方正仿宋_GBK" w:hint="eastAsia"/>
          <w:sz w:val="32"/>
          <w:szCs w:val="32"/>
        </w:rPr>
        <w:t>楼</w:t>
      </w:r>
      <w:r>
        <w:rPr>
          <w:rFonts w:eastAsia="方正仿宋_GBK"/>
          <w:sz w:val="32"/>
          <w:szCs w:val="32"/>
        </w:rPr>
        <w:t>一</w:t>
      </w:r>
      <w:r>
        <w:rPr>
          <w:rFonts w:eastAsia="方正仿宋_GBK" w:hint="eastAsia"/>
          <w:sz w:val="32"/>
          <w:szCs w:val="32"/>
        </w:rPr>
        <w:t>楼会议室</w:t>
      </w:r>
      <w:r>
        <w:rPr>
          <w:rFonts w:eastAsia="方正仿宋_GBK"/>
          <w:sz w:val="32"/>
          <w:szCs w:val="32"/>
        </w:rPr>
        <w:t>。</w:t>
      </w: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简体">
    <w:altName w:val="方正小标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华文隶书">
    <w:panose1 w:val="02010800040101010101"/>
    <w:charset w:val="86"/>
    <w:family w:val="auto"/>
    <w:pitch w:val="variable"/>
    <w:sig w:usb0="00000001" w:usb1="080F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Courier New">
    <w:altName w:val="DejaVu Sans"/>
    <w:panose1 w:val="02070309020205020404"/>
    <w:charset w:val="00"/>
    <w:family w:val="modern"/>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黑体">
    <w:altName w:val="方正黑体_GBK"/>
    <w:panose1 w:val="0201060003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18"/>
      </w:rPr>
      <w:t>第</w:t>
    </w:r>
    <w:r>
      <w:rPr>
        <w:rStyle w:val="18"/>
      </w:rPr>
      <w:fldChar w:fldCharType="begin"/>
    </w:r>
    <w:r>
      <w:rPr>
        <w:rStyle w:val="18"/>
      </w:rPr>
      <w:instrText>Page</w:instrText>
    </w:r>
    <w:r>
      <w:rPr>
        <w:rStyle w:val="18"/>
      </w:rPr>
      <w:fldChar w:fldCharType="separate"/>
    </w:r>
    <w:r>
      <w:rPr>
        <w:rStyle w:val="18"/>
      </w:rPr>
      <w:t>2</w:t>
    </w:r>
    <w:r>
      <w:rPr>
        <w:rStyle w:val="18"/>
      </w:rPr>
      <w:fldChar w:fldCharType="end"/>
    </w:r>
    <w:r>
      <w:rPr>
        <w:rStyle w:val="18"/>
      </w:rPr>
      <w:t xml:space="preserve"> 页</w:t>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6"/>
      </w:tabs>
    </w:pPr>
    <w:r>
      <w:rPr>
        <w:rStyle w:val="18"/>
      </w:rPr>
      <w:fldChar w:fldCharType="begin"/>
    </w:r>
    <w:r>
      <w:rPr>
        <w:rStyle w:val="18"/>
      </w:rPr>
      <w:instrText>Page</w:instrText>
    </w:r>
    <w:r>
      <w:rPr>
        <w:rStyle w:val="18"/>
      </w:rPr>
      <w:fldChar w:fldCharType="separate"/>
    </w:r>
    <w:r>
      <w:rPr>
        <w:rStyle w:val="18"/>
      </w:rPr>
      <w:t>1</w:t>
    </w:r>
    <w:r>
      <w:rPr>
        <w:rStyle w:val="18"/>
      </w:rP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2"/>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 w:name="commondata" w:val="eyJoZGlkIjoiY2JjOTMyZGUzMGYwYWQ4NTIwZmI5ZWFiZDA5NTI4ZW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character" w:styleId="18">
    <w:name w:val="page number"/>
    <w:basedOn w:val="10"/>
  </w:style>
  <w:style w:type="paragraph" w:customStyle="1" w:styleId="19">
    <w:name w:val="样式 10 磅"/>
    <w:pPr>
      <w:widowControl w:val="0"/>
      <w:jc w:val="both"/>
    </w:pPr>
    <w:rPr>
      <w:rFonts w:ascii="Times New Roman" w:eastAsia="宋体" w:cs="Times New Roman" w:hAnsi="Times New Roman"/>
      <w:kern w:val="2"/>
      <w:sz w:val="21"/>
      <w:szCs w:val="20"/>
      <w:lang w:val="en-US" w:eastAsia="zh-CN" w:bidi="ar-SA"/>
    </w:rPr>
  </w:style>
  <w:style w:type="paragraph" w:customStyle="1" w:styleId="20">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1">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2">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3">
    <w:name w:val="样式 3 10 磅"/>
    <w:pPr>
      <w:widowControl w:val="0"/>
      <w:jc w:val="both"/>
    </w:pPr>
    <w:rPr>
      <w:rFonts w:ascii="Times New Roman" w:eastAsia="宋体" w:cs="Times New Roman" w:hAnsi="Times New Roman"/>
      <w:kern w:val="2"/>
      <w:sz w:val="21"/>
      <w:szCs w:val="20"/>
      <w:lang w:val="en-US" w:eastAsia="zh-CN" w:bidi="ar-SA"/>
    </w:rPr>
  </w:style>
  <w:style w:type="paragraph" w:customStyle="1" w:styleId="24">
    <w:name w:val="样式 4 10 磅"/>
    <w:pPr>
      <w:widowControl w:val="0"/>
      <w:jc w:val="both"/>
    </w:pPr>
    <w:rPr>
      <w:rFonts w:ascii="Times New Roman" w:eastAsia="宋体" w:cs="Times New Roman" w:hAnsi="Times New Roman"/>
      <w:kern w:val="2"/>
      <w:sz w:val="21"/>
      <w:szCs w:val="20"/>
      <w:lang w:val="en-US" w:eastAsia="zh-CN" w:bidi="ar-SA"/>
    </w:rPr>
  </w:style>
  <w:style w:type="paragraph" w:customStyle="1" w:styleId="25">
    <w:name w:val="样式 5 10 磅"/>
    <w:pPr>
      <w:widowControl w:val="0"/>
      <w:jc w:val="both"/>
    </w:pPr>
    <w:rPr>
      <w:rFonts w:ascii="Times New Roman" w:eastAsia="宋体" w:cs="Times New Roman" w:hAnsi="Times New Roman"/>
      <w:kern w:val="2"/>
      <w:sz w:val="21"/>
      <w:szCs w:val="20"/>
      <w:lang w:val="en-US" w:eastAsia="zh-CN" w:bidi="ar-SA"/>
    </w:rPr>
  </w:style>
  <w:style w:type="paragraph" w:customStyle="1" w:styleId="26">
    <w:name w:val="样式 6 10 磅"/>
    <w:pPr>
      <w:widowControl w:val="0"/>
      <w:jc w:val="both"/>
    </w:pPr>
    <w:rPr>
      <w:rFonts w:ascii="Times New Roman" w:eastAsia="宋体" w:cs="Times New Roman" w:hAnsi="Times New Roman"/>
      <w:kern w:val="2"/>
      <w:sz w:val="21"/>
      <w:szCs w:val="20"/>
      <w:lang w:val="en-US" w:eastAsia="zh-CN" w:bidi="ar-SA"/>
    </w:rPr>
  </w:style>
  <w:style w:type="paragraph" w:customStyle="1" w:styleId="27">
    <w:name w:val="样式 7 10 磅"/>
    <w:pPr>
      <w:widowControl w:val="0"/>
      <w:jc w:val="both"/>
    </w:pPr>
    <w:rPr>
      <w:rFonts w:ascii="Times New Roman" w:eastAsia="宋体" w:cs="Times New Roman" w:hAnsi="Times New Roman"/>
      <w:kern w:val="2"/>
      <w:sz w:val="21"/>
      <w:szCs w:val="20"/>
      <w:lang w:val="en-US" w:eastAsia="zh-CN" w:bidi="ar-SA"/>
    </w:rPr>
  </w:style>
  <w:style w:type="paragraph" w:customStyle="1" w:styleId="28">
    <w:name w:val="样式 8 10 磅"/>
    <w:pPr>
      <w:widowControl w:val="0"/>
      <w:jc w:val="both"/>
    </w:pPr>
    <w:rPr>
      <w:rFonts w:ascii="Times New Roman" w:eastAsia="宋体" w:cs="Times New Roman" w:hAnsi="Times New Roman"/>
      <w:kern w:val="2"/>
      <w:sz w:val="21"/>
      <w:szCs w:val="20"/>
      <w:lang w:val="en-US" w:eastAsia="zh-CN" w:bidi="ar-SA"/>
    </w:rPr>
  </w:style>
  <w:style w:type="paragraph" w:customStyle="1" w:styleId="29">
    <w:name w:val="样式 9 10 磅"/>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样式 10 10 磅"/>
    <w:pPr>
      <w:widowControl w:val="0"/>
      <w:jc w:val="both"/>
    </w:pPr>
    <w:rPr>
      <w:rFonts w:ascii="Times New Roman" w:eastAsia="宋体" w:cs="Times New Roman" w:hAnsi="Times New Roman"/>
      <w:kern w:val="2"/>
      <w:sz w:val="21"/>
      <w:szCs w:val="20"/>
      <w:lang w:val="en-US" w:eastAsia="zh-CN" w:bidi="ar-SA"/>
    </w:rPr>
  </w:style>
  <w:style w:type="paragraph" w:customStyle="1" w:styleId="31">
    <w:name w:val="样式 11 10 磅"/>
    <w:pPr>
      <w:widowControl w:val="0"/>
      <w:jc w:val="both"/>
    </w:pPr>
    <w:rPr>
      <w:rFonts w:ascii="Times New Roman" w:eastAsia="宋体" w:cs="Times New Roman" w:hAnsi="Times New Roman"/>
      <w:kern w:val="2"/>
      <w:sz w:val="21"/>
      <w:szCs w:val="20"/>
      <w:lang w:val="en-US" w:eastAsia="zh-CN" w:bidi="ar-SA"/>
    </w:rPr>
  </w:style>
  <w:style w:type="paragraph" w:customStyle="1" w:styleId="32">
    <w:name w:val="样式 12 10 磅"/>
    <w:pPr>
      <w:widowControl w:val="0"/>
      <w:jc w:val="both"/>
    </w:pPr>
    <w:rPr>
      <w:rFonts w:ascii="Times New Roman" w:eastAsia="宋体" w:cs="Times New Roman" w:hAnsi="Times New Roman"/>
      <w:kern w:val="2"/>
      <w:sz w:val="21"/>
      <w:szCs w:val="20"/>
      <w:lang w:val="en-US" w:eastAsia="zh-CN" w:bidi="ar-SA"/>
    </w:rPr>
  </w:style>
  <w:style w:type="paragraph" w:customStyle="1" w:styleId="33">
    <w:name w:val="样式 13 10 磅"/>
    <w:pPr>
      <w:widowControl w:val="0"/>
      <w:jc w:val="both"/>
    </w:pPr>
    <w:rPr>
      <w:rFonts w:ascii="Times New Roman" w:eastAsia="宋体" w:cs="Times New Roman" w:hAnsi="Times New Roman"/>
      <w:kern w:val="2"/>
      <w:sz w:val="21"/>
      <w:szCs w:val="20"/>
      <w:lang w:val="en-US" w:eastAsia="zh-CN" w:bidi="ar-SA"/>
    </w:rPr>
  </w:style>
  <w:style w:type="paragraph" w:customStyle="1" w:styleId="34">
    <w:name w:val="样式 14 10 磅"/>
    <w:pPr>
      <w:widowControl w:val="0"/>
      <w:jc w:val="both"/>
    </w:pPr>
    <w:rPr>
      <w:rFonts w:ascii="Times New Roman" w:eastAsia="宋体" w:cs="Times New Roman" w:hAnsi="Times New Roman"/>
      <w:kern w:val="2"/>
      <w:sz w:val="21"/>
      <w:szCs w:val="20"/>
      <w:lang w:val="en-US" w:eastAsia="zh-CN" w:bidi="ar-SA"/>
    </w:rPr>
  </w:style>
  <w:style w:type="paragraph" w:customStyle="1" w:styleId="35">
    <w:name w:val="样式 15 10 磅"/>
    <w:pPr>
      <w:widowControl w:val="0"/>
      <w:jc w:val="both"/>
    </w:pPr>
    <w:rPr>
      <w:rFonts w:ascii="Times New Roman" w:eastAsia="宋体" w:cs="Times New Roman" w:hAnsi="Times New Roman"/>
      <w:kern w:val="2"/>
      <w:sz w:val="21"/>
      <w:szCs w:val="20"/>
      <w:lang w:val="en-US" w:eastAsia="zh-CN" w:bidi="ar-SA"/>
    </w:rPr>
  </w:style>
  <w:style w:type="paragraph" w:customStyle="1" w:styleId="36">
    <w:name w:val="样式 16 10 磅"/>
    <w:pPr>
      <w:widowControl w:val="0"/>
      <w:jc w:val="both"/>
    </w:pPr>
    <w:rPr>
      <w:rFonts w:ascii="Times New Roman" w:eastAsia="宋体" w:cs="Times New Roman" w:hAnsi="Times New Roman"/>
      <w:kern w:val="2"/>
      <w:sz w:val="21"/>
      <w:szCs w:val="20"/>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0"/>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0"/>
      <w:lang w:val="en-US" w:eastAsia="zh-CN" w:bidi="ar-SA"/>
    </w:rPr>
  </w:style>
  <w:style w:type="paragraph" w:customStyle="1" w:styleId="39">
    <w:name w:val="样式 19 10 磅"/>
    <w:pPr>
      <w:widowControl w:val="0"/>
      <w:jc w:val="both"/>
    </w:pPr>
    <w:rPr>
      <w:rFonts w:ascii="Times New Roman" w:eastAsia="宋体" w:cs="Times New Roman" w:hAnsi="Times New Roman"/>
      <w:kern w:val="2"/>
      <w:sz w:val="21"/>
      <w:szCs w:val="20"/>
      <w:lang w:val="en-US" w:eastAsia="zh-CN" w:bidi="ar-SA"/>
    </w:rPr>
  </w:style>
  <w:style w:type="paragraph" w:customStyle="1" w:styleId="40">
    <w:name w:val="样式 20 10 磅"/>
    <w:pPr>
      <w:widowControl w:val="0"/>
      <w:jc w:val="both"/>
    </w:pPr>
    <w:rPr>
      <w:rFonts w:ascii="Times New Roman" w:eastAsia="宋体" w:cs="Times New Roman" w:hAnsi="Times New Roman"/>
      <w:kern w:val="2"/>
      <w:sz w:val="21"/>
      <w:szCs w:val="20"/>
      <w:lang w:val="en-US" w:eastAsia="zh-CN" w:bidi="ar-SA"/>
    </w:rPr>
  </w:style>
  <w:style w:type="paragraph" w:customStyle="1" w:styleId="41">
    <w:name w:val="样式 21 10 磅"/>
    <w:pPr>
      <w:widowControl w:val="0"/>
      <w:jc w:val="both"/>
    </w:pPr>
    <w:rPr>
      <w:rFonts w:ascii="Times New Roman" w:eastAsia="宋体" w:cs="Times New Roman" w:hAnsi="Times New Roman"/>
      <w:kern w:val="2"/>
      <w:sz w:val="21"/>
      <w:szCs w:val="20"/>
      <w:lang w:val="en-US" w:eastAsia="zh-CN" w:bidi="ar-SA"/>
    </w:rPr>
  </w:style>
  <w:style w:type="paragraph" w:customStyle="1" w:styleId="42">
    <w:name w:val="样式 22 10 磅"/>
    <w:pPr>
      <w:widowControl w:val="0"/>
      <w:jc w:val="both"/>
    </w:pPr>
    <w:rPr>
      <w:rFonts w:ascii="Times New Roman" w:eastAsia="宋体" w:cs="Times New Roman" w:hAnsi="Times New Roman"/>
      <w:kern w:val="2"/>
      <w:sz w:val="21"/>
      <w:szCs w:val="20"/>
      <w:lang w:val="en-US" w:eastAsia="zh-CN" w:bidi="ar-SA"/>
    </w:rPr>
  </w:style>
  <w:style w:type="paragraph" w:customStyle="1" w:styleId="43">
    <w:name w:val="样式 23 10 磅"/>
    <w:pPr>
      <w:widowControl w:val="0"/>
      <w:jc w:val="both"/>
    </w:pPr>
    <w:rPr>
      <w:rFonts w:ascii="Times New Roman" w:eastAsia="宋体" w:cs="Times New Roman" w:hAnsi="Times New Roman"/>
      <w:kern w:val="2"/>
      <w:sz w:val="21"/>
      <w:szCs w:val="20"/>
      <w:lang w:val="en-US" w:eastAsia="zh-CN" w:bidi="ar-SA"/>
    </w:rPr>
  </w:style>
  <w:style w:type="paragraph" w:customStyle="1" w:styleId="44">
    <w:name w:val="样式 24 10 磅"/>
    <w:pPr>
      <w:widowControl w:val="0"/>
      <w:jc w:val="both"/>
    </w:pPr>
    <w:rPr>
      <w:rFonts w:ascii="Times New Roman" w:eastAsia="宋体" w:cs="Times New Roman" w:hAnsi="Times New Roman"/>
      <w:kern w:val="2"/>
      <w:sz w:val="21"/>
      <w:szCs w:val="20"/>
      <w:lang w:val="en-US" w:eastAsia="zh-CN" w:bidi="ar-SA"/>
    </w:rPr>
  </w:style>
  <w:style w:type="paragraph" w:styleId="45">
    <w:name w:val="Plain Text"/>
    <w:basedOn w:val="0"/>
    <w:rPr>
      <w:rFonts w:ascii="宋体"/>
    </w:rPr>
  </w:style>
  <w:style w:type="character" w:customStyle="1" w:styleId="46">
    <w:name w:val="纯文本 Char"/>
    <w:basedOn w:val="10"/>
    <w:rPr>
      <w:rFonts w:ascii="宋体" w:cs="Courier New"/>
      <w:kern w:val="2"/>
      <w:sz w:val="21"/>
      <w:szCs w:val="21"/>
    </w:rPr>
  </w:style>
  <w:style w:type="paragraph" w:customStyle="1" w:styleId="47">
    <w:name w:val="样式 25 10 磅"/>
    <w:pPr>
      <w:widowControl w:val="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1046</TotalTime>
  <Application>Yozo_Office</Application>
  <Pages>6</Pages>
  <Words>4003</Words>
  <Characters>4191</Characters>
  <Lines>262</Lines>
  <Paragraphs>117</Paragraphs>
  <CharactersWithSpaces>4247</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张顺</dc:creator>
  <cp:lastModifiedBy>玉海剑</cp:lastModifiedBy>
  <cp:revision>3</cp:revision>
  <cp:lastPrinted>2023-12-19T02:56:00Z</cp:lastPrinted>
  <dcterms:created xsi:type="dcterms:W3CDTF">2025-02-10T02:22:00Z</dcterms:created>
  <dcterms:modified xsi:type="dcterms:W3CDTF">2026-08-07T02:55:07Z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2052-12.1.0.18608</vt:lpwstr>
  </property>
  <property fmtid="{D5CDD505-2E9C-101B-9397-08002B2CF9AE}" pid="3" name="ICV">
    <vt:lpwstr>908FE8D4C2604DA8967F3D1DF490CD5C_13</vt:lpwstr>
  </property>
</Properties>
</file>