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40" w:lineRule="exact"/>
        <w:jc w:val="center"/>
        <w:rPr>
          <w:rFonts w:eastAsia="方正小标宋_GBK"/>
          <w:bCs/>
          <w:color w:val="000000"/>
          <w:sz w:val="32"/>
          <w:szCs w:val="32"/>
        </w:rPr>
      </w:pPr>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pPr>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pPr>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pPr>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pPr>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pPr>
        <w:spacing w:line="480" w:lineRule="exact"/>
        <w:ind w:firstLineChars="200" w:firstLine="560"/>
        <w:rPr>
          <w:rFonts w:eastAsia="方正黑体_GBK"/>
          <w:sz w:val="28"/>
          <w:szCs w:val="28"/>
        </w:rPr>
      </w:pPr>
      <w:r>
        <w:rPr>
          <w:rFonts w:eastAsia="方正黑体_GBK"/>
          <w:sz w:val="28"/>
          <w:szCs w:val="28"/>
        </w:rPr>
        <w:t>二、资</w:t>
      </w:r>
      <w:r>
        <w:rPr>
          <w:rFonts w:eastAsia="方正黑体_GBK" w:hint="eastAsia"/>
          <w:sz w:val="28"/>
          <w:szCs w:val="28"/>
        </w:rPr>
        <w:t>格审查</w:t>
      </w:r>
    </w:p>
    <w:p>
      <w:pPr>
        <w:spacing w:line="480" w:lineRule="exact"/>
        <w:ind w:firstLineChars="200" w:firstLine="560"/>
        <w:rPr>
          <w:rFonts w:eastAsia="方正仿宋_GBK"/>
          <w:sz w:val="28"/>
          <w:szCs w:val="28"/>
        </w:rPr>
      </w:pPr>
      <w:r>
        <w:rPr>
          <w:rFonts w:eastAsia="方正仿宋_GBK" w:hint="eastAsia"/>
          <w:sz w:val="28"/>
          <w:szCs w:val="28"/>
        </w:rPr>
        <w:t>具备《采购公告》中企业资质</w:t>
      </w:r>
      <w:r>
        <w:rPr>
          <w:rFonts w:eastAsia="方正仿宋_GBK"/>
          <w:sz w:val="28"/>
          <w:szCs w:val="28"/>
        </w:rPr>
        <w:t>。</w:t>
      </w:r>
    </w:p>
    <w:p>
      <w:pPr>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1.报价函（附件1，必须提供）；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2.报价明细表（附件2，必须提供）；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3.声明（附件3，必须提供）；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4.有效的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5.供应商的法定代表人身份证正反面复印件（必须提供）；</w:t>
      </w:r>
    </w:p>
    <w:p>
      <w:pPr>
        <w:spacing w:line="480" w:lineRule="exact"/>
        <w:ind w:leftChars="-1" w:left="-2" w:firstLineChars="221" w:firstLine="619"/>
        <w:rPr>
          <w:rFonts w:eastAsia="方正仿宋_GBK"/>
          <w:sz w:val="28"/>
          <w:szCs w:val="28"/>
        </w:rPr>
      </w:pPr>
      <w:r>
        <w:rPr>
          <w:rFonts w:eastAsia="方正仿宋_GBK"/>
          <w:color w:val="000000"/>
          <w:sz w:val="28"/>
          <w:szCs w:val="28"/>
        </w:rPr>
        <w:t>6.供应商的法人授权委托书、委托代理人身份证正反面复印件（委托代理时必</w:t>
      </w:r>
      <w:r>
        <w:rPr>
          <w:rFonts w:eastAsia="方正仿宋_GBK"/>
          <w:sz w:val="28"/>
          <w:szCs w:val="28"/>
        </w:rPr>
        <w:t>须提供，同时要加盖单位公章，否则被认定为资格审查不合格而报价无效）；</w:t>
      </w:r>
    </w:p>
    <w:p>
      <w:pPr>
        <w:spacing w:line="480" w:lineRule="exact"/>
        <w:ind w:leftChars="-1" w:left="-2" w:firstLineChars="221" w:firstLine="619"/>
        <w:rPr>
          <w:rFonts w:eastAsia="方正仿宋_GBK"/>
          <w:sz w:val="28"/>
          <w:szCs w:val="28"/>
        </w:rPr>
      </w:pPr>
      <w:r>
        <w:rPr>
          <w:rFonts w:eastAsia="方正仿宋_GBK"/>
          <w:sz w:val="28"/>
          <w:szCs w:val="28"/>
        </w:rPr>
        <w:t>7.服务方案（格式自拟，必须提供）；</w:t>
      </w:r>
    </w:p>
    <w:p>
      <w:pPr>
        <w:spacing w:line="480" w:lineRule="exact"/>
        <w:ind w:leftChars="-1" w:left="-2" w:firstLineChars="221" w:firstLine="619"/>
        <w:rPr>
          <w:rFonts w:eastAsia="方正仿宋_GBK"/>
          <w:sz w:val="28"/>
          <w:szCs w:val="28"/>
        </w:rPr>
      </w:pPr>
      <w:r>
        <w:rPr>
          <w:rFonts w:eastAsia="方正仿宋_GBK"/>
          <w:sz w:val="28"/>
          <w:szCs w:val="28"/>
        </w:rPr>
        <w:t>8.近三年同类工作相关业绩（中标通知书或合同关键页复印件并加盖公章）；</w:t>
      </w:r>
    </w:p>
    <w:p>
      <w:pPr>
        <w:spacing w:line="480" w:lineRule="exact"/>
        <w:ind w:leftChars="-1" w:left="-2" w:firstLineChars="221" w:firstLine="619"/>
        <w:rPr>
          <w:rFonts w:ascii="方正仿宋_GBK" w:eastAsia="方正仿宋_GBK"/>
          <w:sz w:val="28"/>
          <w:szCs w:val="28"/>
        </w:rPr>
      </w:pPr>
      <w:r>
        <w:rPr>
          <w:rFonts w:eastAsia="方正仿宋_GBK"/>
          <w:sz w:val="28"/>
          <w:szCs w:val="28"/>
        </w:rPr>
        <w:t>9</w:t>
      </w:r>
      <w:r>
        <w:rPr>
          <w:rFonts w:eastAsia="方正仿宋_GBK" w:hint="eastAsia"/>
          <w:sz w:val="28"/>
          <w:szCs w:val="28"/>
        </w:rPr>
        <w:t>.</w:t>
      </w:r>
      <w:r>
        <w:rPr>
          <w:rFonts w:eastAsia="方正仿宋_GBK"/>
          <w:sz w:val="28"/>
          <w:szCs w:val="28"/>
        </w:rPr>
        <w:t>其他证</w:t>
      </w:r>
      <w:r>
        <w:rPr>
          <w:rFonts w:ascii="方正仿宋_GBK" w:eastAsia="方正仿宋_GBK" w:hint="eastAsia"/>
          <w:sz w:val="28"/>
          <w:szCs w:val="28"/>
        </w:rPr>
        <w:t>明文件的复印件（如有请提供）。</w:t>
      </w:r>
    </w:p>
    <w:p>
      <w:pPr>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二</w:t>
      </w:r>
      <w:r>
        <w:rPr>
          <w:rFonts w:ascii="方正楷体_GBK" w:eastAsia="方正楷体_GBK"/>
          <w:b/>
          <w:color w:val="000000"/>
          <w:sz w:val="28"/>
          <w:szCs w:val="28"/>
        </w:rPr>
        <w:t>）</w:t>
      </w:r>
      <w:r>
        <w:rPr>
          <w:rFonts w:ascii="方正楷体_GBK" w:eastAsia="方正楷体_GBK" w:hint="eastAsia"/>
          <w:b/>
          <w:color w:val="000000"/>
          <w:sz w:val="28"/>
          <w:szCs w:val="28"/>
        </w:rPr>
        <w:t>属于下列情形的，</w:t>
      </w:r>
      <w:r>
        <w:rPr>
          <w:rFonts w:ascii="方正楷体_GBK" w:eastAsia="方正楷体_GBK"/>
          <w:b/>
          <w:color w:val="000000"/>
          <w:sz w:val="28"/>
          <w:szCs w:val="28"/>
        </w:rPr>
        <w:t>不</w:t>
      </w:r>
      <w:r>
        <w:rPr>
          <w:rFonts w:ascii="方正楷体_GBK" w:eastAsia="方正楷体_GBK" w:hint="eastAsia"/>
          <w:b/>
          <w:color w:val="000000"/>
          <w:sz w:val="28"/>
          <w:szCs w:val="28"/>
        </w:rPr>
        <w:t>得</w:t>
      </w:r>
      <w:r>
        <w:rPr>
          <w:rFonts w:ascii="方正楷体_GBK" w:eastAsia="方正楷体_GBK"/>
          <w:b/>
          <w:color w:val="000000"/>
          <w:sz w:val="28"/>
          <w:szCs w:val="28"/>
        </w:rPr>
        <w:t>参加下一步</w:t>
      </w:r>
      <w:r>
        <w:rPr>
          <w:rFonts w:ascii="方正楷体_GBK" w:eastAsia="方正楷体_GBK" w:hint="eastAsia"/>
          <w:b/>
          <w:color w:val="000000"/>
          <w:sz w:val="28"/>
          <w:szCs w:val="28"/>
        </w:rPr>
        <w:t>详</w:t>
      </w:r>
      <w:r>
        <w:rPr>
          <w:rFonts w:ascii="方正楷体_GBK" w:eastAsia="方正楷体_GBK"/>
          <w:b/>
          <w:color w:val="000000"/>
          <w:sz w:val="28"/>
          <w:szCs w:val="28"/>
        </w:rPr>
        <w:t>评</w:t>
      </w:r>
      <w:r>
        <w:rPr>
          <w:rFonts w:ascii="方正楷体_GBK" w:eastAsia="方正楷体_GBK" w:hint="eastAsia"/>
          <w:b/>
          <w:color w:val="000000"/>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三</w:t>
      </w:r>
      <w:r>
        <w:rPr>
          <w:rFonts w:ascii="方正楷体_GBK" w:eastAsia="方正楷体_GBK"/>
          <w:b/>
          <w:color w:val="000000"/>
          <w:sz w:val="28"/>
          <w:szCs w:val="28"/>
        </w:rPr>
        <w:t>）</w:t>
      </w:r>
      <w:r>
        <w:rPr>
          <w:rFonts w:ascii="方正楷体_GBK" w:eastAsia="方正楷体_GBK" w:hint="eastAsia"/>
          <w:b/>
          <w:color w:val="000000"/>
          <w:sz w:val="28"/>
          <w:szCs w:val="28"/>
        </w:rPr>
        <w:t xml:space="preserve"> </w:t>
      </w:r>
      <w:r>
        <w:rPr>
          <w:rFonts w:ascii="方正楷体_GBK" w:eastAsia="方正楷体_GBK"/>
          <w:b/>
          <w:color w:val="000000"/>
          <w:sz w:val="28"/>
          <w:szCs w:val="28"/>
        </w:rPr>
        <w:t>报价函</w:t>
      </w:r>
      <w:r>
        <w:rPr>
          <w:rFonts w:ascii="方正楷体_GBK" w:eastAsia="方正楷体_GBK" w:hint="eastAsia"/>
          <w:b/>
          <w:color w:val="000000"/>
          <w:sz w:val="28"/>
          <w:szCs w:val="28"/>
        </w:rPr>
        <w:t>与</w:t>
      </w:r>
      <w:r>
        <w:rPr>
          <w:rFonts w:ascii="方正楷体_GBK" w:eastAsia="方正楷体_GBK"/>
          <w:b/>
          <w:color w:val="000000"/>
          <w:sz w:val="28"/>
          <w:szCs w:val="28"/>
        </w:rPr>
        <w:t>报价明细表</w:t>
      </w:r>
      <w:r>
        <w:rPr>
          <w:rFonts w:ascii="方正楷体_GBK" w:eastAsia="方正楷体_GBK" w:hint="eastAsia"/>
          <w:b/>
          <w:color w:val="000000"/>
          <w:sz w:val="28"/>
          <w:szCs w:val="28"/>
        </w:rPr>
        <w:t>的报价不一致时，以报价函价格为准，报价大、小写不一致时，以大写价格为准。</w:t>
      </w:r>
    </w:p>
    <w:p>
      <w:pPr>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pPr>
        <w:spacing w:line="480" w:lineRule="exact"/>
        <w:ind w:firstLineChars="228" w:firstLine="638"/>
        <w:rPr>
          <w:rFonts w:eastAsia="方正仿宋_GBK"/>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pPr>
        <w:spacing w:line="480" w:lineRule="exact"/>
        <w:ind w:firstLineChars="228" w:firstLine="638"/>
        <w:rPr>
          <w:rFonts w:ascii="方正黑体_GBK" w:eastAsia="方正黑体_GBK"/>
          <w:strike/>
          <w:dstrike w:val="0"/>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pPr>
        <w:spacing w:line="480" w:lineRule="exact"/>
        <w:ind w:firstLineChars="200" w:firstLine="560"/>
        <w:rPr>
          <w:rFonts w:ascii="方正楷体_GBK" w:eastAsia="方正楷体_GBK"/>
          <w:b/>
          <w:color w:val="000000"/>
          <w:sz w:val="28"/>
          <w:szCs w:val="28"/>
        </w:rPr>
      </w:pPr>
      <w:r>
        <w:rPr>
          <w:rFonts w:ascii="方正楷体_GBK" w:eastAsia="方正楷体_GBK" w:hint="eastAsia"/>
          <w:b/>
          <w:color w:val="000000"/>
          <w:sz w:val="28"/>
          <w:szCs w:val="28"/>
        </w:rPr>
        <w:t>（一）评审方法</w:t>
      </w:r>
    </w:p>
    <w:p>
      <w:pPr>
        <w:spacing w:line="480" w:lineRule="exact"/>
        <w:ind w:firstLineChars="228" w:firstLine="638"/>
        <w:rPr>
          <w:rFonts w:eastAsia="方正仿宋_GBK" w:hint="eastAsia"/>
          <w:sz w:val="28"/>
          <w:szCs w:val="28"/>
        </w:rPr>
      </w:pPr>
      <w:r>
        <w:rPr>
          <w:rFonts w:eastAsia="方正仿宋_GBK" w:hint="eastAsia"/>
          <w:sz w:val="28"/>
          <w:szCs w:val="28"/>
        </w:rPr>
        <w:t>1.对进入详评的，采用百分制综合评分法。</w:t>
      </w:r>
    </w:p>
    <w:p>
      <w:pPr>
        <w:spacing w:line="480" w:lineRule="exact"/>
        <w:ind w:firstLineChars="228" w:firstLine="638"/>
        <w:rPr>
          <w:rFonts w:eastAsia="方正仿宋_GBK" w:hint="eastAsia"/>
          <w:sz w:val="28"/>
          <w:szCs w:val="28"/>
        </w:rPr>
      </w:pPr>
      <w:r>
        <w:rPr>
          <w:rFonts w:eastAsia="方正仿宋_GBK" w:hint="eastAsia"/>
          <w:sz w:val="28"/>
          <w:szCs w:val="28"/>
        </w:rPr>
        <w:t>2.计分办法（按四舍五入取至小数点后两位）。</w:t>
      </w:r>
    </w:p>
    <w:p>
      <w:pPr>
        <w:spacing w:line="480" w:lineRule="exact"/>
        <w:ind w:firstLineChars="200" w:firstLine="560"/>
        <w:rPr>
          <w:rFonts w:ascii="方正楷体_GBK" w:eastAsia="方正楷体_GBK" w:hint="eastAsia"/>
          <w:b/>
          <w:color w:val="000000"/>
          <w:sz w:val="28"/>
          <w:szCs w:val="28"/>
        </w:rPr>
      </w:pPr>
      <w:r>
        <w:rPr>
          <w:rFonts w:ascii="方正楷体_GBK" w:eastAsia="方正楷体_GBK" w:hint="eastAsia"/>
          <w:b/>
          <w:color w:val="000000"/>
          <w:sz w:val="28"/>
          <w:szCs w:val="28"/>
        </w:rPr>
        <w:t>（二）评分标准</w:t>
      </w:r>
    </w:p>
    <w:tbl>
      <w:tblPr>
        <w:jc w:val="cente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85"/>
        <w:gridCol w:w="1121"/>
        <w:gridCol w:w="1260"/>
        <w:gridCol w:w="6131"/>
      </w:tblGrid>
      <w:tr>
        <w:trPr>
          <w:trHeight w:val="608"/>
        </w:trPr>
        <w:tc>
          <w:tcPr>
            <w:tcW w:w="485" w:type="dxa"/>
            <w:vAlign w:val="center"/>
          </w:tcPr>
          <w:p>
            <w:pPr>
              <w:jc w:val="center"/>
              <w:rPr>
                <w:rFonts w:ascii="宋体" w:cs="Arial"/>
                <w:b/>
                <w:sz w:val="24"/>
                <w:szCs w:val="24"/>
              </w:rPr>
            </w:pPr>
            <w:r>
              <w:rPr>
                <w:rFonts w:ascii="宋体" w:cs="Arial" w:hint="eastAsia"/>
                <w:b/>
                <w:sz w:val="24"/>
                <w:szCs w:val="24"/>
              </w:rPr>
              <w:t>序号</w:t>
            </w:r>
          </w:p>
        </w:tc>
        <w:tc>
          <w:tcPr>
            <w:tcW w:w="2381" w:type="dxa"/>
            <w:gridSpan w:val="2"/>
            <w:vAlign w:val="center"/>
          </w:tcPr>
          <w:p>
            <w:pPr>
              <w:jc w:val="center"/>
              <w:rPr>
                <w:rFonts w:ascii="宋体" w:cs="Arial"/>
                <w:b/>
                <w:sz w:val="24"/>
                <w:szCs w:val="24"/>
              </w:rPr>
            </w:pPr>
            <w:r>
              <w:rPr>
                <w:rFonts w:ascii="宋体" w:cs="Arial" w:hint="eastAsia"/>
                <w:b/>
                <w:sz w:val="24"/>
                <w:szCs w:val="24"/>
              </w:rPr>
              <w:t>评</w:t>
            </w:r>
            <w:r>
              <w:rPr>
                <w:rFonts w:ascii="宋体" w:cs="Arial"/>
                <w:b/>
                <w:sz w:val="24"/>
                <w:szCs w:val="24"/>
              </w:rPr>
              <w:t>分项</w:t>
            </w:r>
          </w:p>
        </w:tc>
        <w:tc>
          <w:tcPr>
            <w:tcW w:w="6131" w:type="dxa"/>
            <w:vAlign w:val="center"/>
          </w:tcPr>
          <w:p>
            <w:pPr>
              <w:jc w:val="center"/>
              <w:rPr>
                <w:rFonts w:ascii="宋体" w:cs="Arial"/>
                <w:b/>
                <w:sz w:val="24"/>
                <w:szCs w:val="24"/>
              </w:rPr>
            </w:pPr>
            <w:r>
              <w:rPr>
                <w:rFonts w:ascii="宋体" w:cs="Arial" w:hint="eastAsia"/>
                <w:b/>
                <w:sz w:val="24"/>
                <w:szCs w:val="24"/>
              </w:rPr>
              <w:t>评分标准</w:t>
            </w:r>
          </w:p>
        </w:tc>
      </w:tr>
      <w:tr>
        <w:trPr>
          <w:trHeight w:val="1405"/>
        </w:trPr>
        <w:tc>
          <w:tcPr>
            <w:tcW w:w="485" w:type="dxa"/>
            <w:vAlign w:val="center"/>
          </w:tcPr>
          <w:p>
            <w:pPr>
              <w:spacing w:line="400" w:lineRule="exact"/>
              <w:jc w:val="center"/>
              <w:rPr>
                <w:rFonts w:ascii="宋体" w:eastAsia="宋体" w:cs="Arial"/>
                <w:sz w:val="24"/>
                <w:szCs w:val="24"/>
              </w:rPr>
            </w:pPr>
            <w:r>
              <w:rPr>
                <w:rFonts w:ascii="宋体" w:eastAsia="宋体" w:cs="Arial" w:hint="eastAsia"/>
                <w:sz w:val="24"/>
                <w:szCs w:val="24"/>
              </w:rPr>
              <w:t>1</w:t>
            </w:r>
          </w:p>
        </w:tc>
        <w:tc>
          <w:tcPr>
            <w:tcW w:w="2381" w:type="dxa"/>
            <w:gridSpan w:val="2"/>
            <w:vAlign w:val="center"/>
          </w:tcPr>
          <w:p>
            <w:pPr>
              <w:spacing w:line="400" w:lineRule="exact"/>
              <w:jc w:val="center"/>
              <w:rPr>
                <w:rFonts w:eastAsia="方正仿宋_GBK" w:cs="宋体"/>
                <w:b/>
                <w:bCs/>
                <w:sz w:val="24"/>
              </w:rPr>
            </w:pPr>
            <w:r>
              <w:rPr>
                <w:rFonts w:eastAsia="方正仿宋_GBK" w:cs="宋体" w:hint="eastAsia"/>
                <w:b/>
                <w:bCs/>
                <w:sz w:val="24"/>
              </w:rPr>
              <w:t>价格</w:t>
            </w:r>
            <w:r>
              <w:rPr>
                <w:rFonts w:eastAsia="方正仿宋_GBK" w:cs="宋体"/>
                <w:b/>
                <w:bCs/>
                <w:sz w:val="24"/>
              </w:rPr>
              <w:t>分</w:t>
            </w:r>
          </w:p>
          <w:p>
            <w:pPr>
              <w:spacing w:line="400" w:lineRule="exact"/>
              <w:ind w:firstLineChars="50" w:firstLine="120"/>
              <w:jc w:val="center"/>
              <w:rPr>
                <w:rFonts w:ascii="宋体" w:eastAsia="宋体" w:cs="Arial"/>
                <w:sz w:val="24"/>
                <w:szCs w:val="24"/>
              </w:rPr>
            </w:pPr>
            <w:r>
              <w:rPr>
                <w:rFonts w:ascii="宋体" w:eastAsia="宋体" w:cs="Arial" w:hint="eastAsia"/>
                <w:b/>
                <w:bCs/>
                <w:sz w:val="24"/>
                <w:szCs w:val="24"/>
              </w:rPr>
              <w:t>（</w:t>
            </w:r>
            <w:r>
              <w:rPr>
                <w:rFonts w:ascii="宋体" w:eastAsia="宋体" w:cs="Arial"/>
                <w:b/>
                <w:bCs/>
                <w:sz w:val="24"/>
                <w:szCs w:val="24"/>
              </w:rPr>
              <w:t>3</w:t>
            </w:r>
            <w:r>
              <w:rPr>
                <w:rFonts w:ascii="宋体" w:eastAsia="宋体" w:cs="Arial" w:hint="eastAsia"/>
                <w:b/>
                <w:bCs/>
                <w:sz w:val="24"/>
                <w:szCs w:val="24"/>
              </w:rPr>
              <w:t>0分）</w:t>
            </w:r>
          </w:p>
        </w:tc>
        <w:tc>
          <w:tcPr>
            <w:tcW w:w="6131" w:type="dxa"/>
            <w:vAlign w:val="center"/>
          </w:tcPr>
          <w:p>
            <w:pPr>
              <w:spacing w:line="400" w:lineRule="exact"/>
              <w:rPr>
                <w:rFonts w:ascii="宋体" w:eastAsia="宋体" w:cs="宋体" w:hint="eastAsia"/>
                <w:color w:val="000000"/>
                <w:kern w:val="0"/>
                <w:sz w:val="24"/>
                <w:szCs w:val="24"/>
              </w:rPr>
            </w:pPr>
            <w:r>
              <w:rPr>
                <w:rFonts w:ascii="宋体" w:eastAsia="宋体" w:cs="宋体"/>
                <w:color w:val="000000"/>
                <w:kern w:val="0"/>
                <w:sz w:val="24"/>
                <w:szCs w:val="24"/>
              </w:rPr>
              <w:t>根据供应商提供的同类商品报价进行综合评定。</w:t>
            </w:r>
          </w:p>
          <w:p>
            <w:pPr>
              <w:spacing w:line="400" w:lineRule="exact"/>
              <w:rPr>
                <w:rFonts w:ascii="宋体" w:eastAsia="宋体" w:cs="Arial"/>
                <w:sz w:val="24"/>
                <w:szCs w:val="24"/>
              </w:rPr>
            </w:pPr>
            <w:r>
              <w:rPr>
                <w:rFonts w:ascii="宋体" w:eastAsia="宋体" w:cs="Arial"/>
                <w:sz w:val="24"/>
                <w:szCs w:val="24"/>
              </w:rPr>
              <w:t>分一档（21-30分）、二档（11-20分）、三档（10分以下）进行评分。</w:t>
            </w:r>
          </w:p>
        </w:tc>
      </w:tr>
      <w:tr>
        <w:trPr>
          <w:trHeight w:val="1589"/>
        </w:trPr>
        <w:tc>
          <w:tcPr>
            <w:tcW w:w="485" w:type="dxa"/>
            <w:vMerge w:val="restart"/>
            <w:vAlign w:val="center"/>
          </w:tcPr>
          <w:p>
            <w:pPr>
              <w:spacing w:line="400" w:lineRule="exact"/>
              <w:jc w:val="center"/>
              <w:rPr>
                <w:rFonts w:ascii="宋体" w:eastAsia="宋体" w:cs="Arial"/>
                <w:sz w:val="24"/>
                <w:szCs w:val="24"/>
              </w:rPr>
            </w:pPr>
            <w:r>
              <w:rPr>
                <w:rFonts w:ascii="宋体" w:eastAsia="宋体" w:cs="Arial" w:hint="eastAsia"/>
                <w:sz w:val="24"/>
                <w:szCs w:val="24"/>
              </w:rPr>
              <w:t>2</w:t>
            </w:r>
          </w:p>
        </w:tc>
        <w:tc>
          <w:tcPr>
            <w:tcW w:w="1121" w:type="dxa"/>
            <w:vMerge w:val="restart"/>
            <w:vAlign w:val="center"/>
          </w:tcPr>
          <w:p>
            <w:pPr>
              <w:spacing w:line="400" w:lineRule="exact"/>
              <w:jc w:val="center"/>
              <w:rPr>
                <w:rFonts w:eastAsia="方正仿宋_GBK" w:cs="宋体"/>
                <w:b/>
                <w:bCs/>
                <w:sz w:val="24"/>
              </w:rPr>
            </w:pPr>
            <w:r>
              <w:rPr>
                <w:rFonts w:eastAsia="方正仿宋_GBK" w:cs="宋体"/>
                <w:b/>
                <w:bCs/>
                <w:sz w:val="24"/>
              </w:rPr>
              <w:t>技术分</w:t>
            </w:r>
          </w:p>
          <w:p>
            <w:pPr>
              <w:spacing w:line="400" w:lineRule="exact"/>
              <w:jc w:val="center"/>
              <w:rPr>
                <w:rFonts w:eastAsia="方正仿宋_GBK" w:cs="宋体"/>
                <w:b/>
                <w:bCs/>
                <w:sz w:val="24"/>
              </w:rPr>
            </w:pPr>
            <w:r>
              <w:rPr>
                <w:rFonts w:eastAsia="方正仿宋_GBK" w:cs="宋体"/>
                <w:b/>
                <w:bCs/>
                <w:sz w:val="24"/>
              </w:rPr>
              <w:t>（60分）</w:t>
            </w:r>
          </w:p>
        </w:tc>
        <w:tc>
          <w:tcPr>
            <w:tcW w:w="1260" w:type="dxa"/>
            <w:vAlign w:val="center"/>
          </w:tcPr>
          <w:p>
            <w:pPr>
              <w:spacing w:line="400" w:lineRule="exact"/>
              <w:jc w:val="center"/>
              <w:rPr>
                <w:rFonts w:eastAsia="方正仿宋_GBK" w:cs="宋体"/>
                <w:b/>
                <w:bCs/>
                <w:sz w:val="24"/>
              </w:rPr>
            </w:pPr>
            <w:r>
              <w:rPr>
                <w:rFonts w:eastAsia="方正仿宋_GBK" w:cs="宋体"/>
                <w:b/>
                <w:bCs/>
                <w:sz w:val="24"/>
              </w:rPr>
              <w:t>配送服务方案</w:t>
            </w:r>
          </w:p>
          <w:p>
            <w:pPr>
              <w:spacing w:line="400" w:lineRule="exact"/>
              <w:jc w:val="center"/>
              <w:rPr>
                <w:rFonts w:ascii="宋体" w:eastAsia="宋体" w:cs="宋体"/>
                <w:b/>
                <w:bCs/>
                <w:sz w:val="24"/>
                <w:szCs w:val="24"/>
              </w:rPr>
            </w:pPr>
            <w:r>
              <w:rPr>
                <w:rFonts w:ascii="宋体" w:eastAsia="宋体" w:cs="Arial" w:hint="eastAsia"/>
                <w:b/>
                <w:bCs/>
                <w:sz w:val="24"/>
                <w:szCs w:val="24"/>
              </w:rPr>
              <w:t>（</w:t>
            </w:r>
            <w:r>
              <w:rPr>
                <w:rFonts w:ascii="宋体" w:eastAsia="宋体" w:cs="Arial"/>
                <w:b/>
                <w:bCs/>
                <w:sz w:val="24"/>
                <w:szCs w:val="24"/>
              </w:rPr>
              <w:t>20</w:t>
            </w:r>
            <w:r>
              <w:rPr>
                <w:rFonts w:ascii="宋体" w:eastAsia="宋体" w:cs="Arial" w:hint="eastAsia"/>
                <w:b/>
                <w:bCs/>
                <w:sz w:val="24"/>
                <w:szCs w:val="24"/>
              </w:rPr>
              <w:t>分）</w:t>
            </w:r>
          </w:p>
        </w:tc>
        <w:tc>
          <w:tcPr>
            <w:tcW w:w="6131" w:type="dxa"/>
            <w:vAlign w:val="center"/>
          </w:tcPr>
          <w:p>
            <w:pPr>
              <w:spacing w:line="400" w:lineRule="exact"/>
              <w:rPr>
                <w:rFonts w:ascii="宋体" w:eastAsia="宋体" w:cs="宋体"/>
                <w:color w:val="000000"/>
                <w:kern w:val="0"/>
                <w:sz w:val="24"/>
                <w:szCs w:val="24"/>
              </w:rPr>
            </w:pPr>
            <w:r>
              <w:rPr>
                <w:rFonts w:ascii="宋体" w:eastAsia="宋体" w:cs="宋体"/>
                <w:color w:val="000000"/>
                <w:kern w:val="0"/>
                <w:sz w:val="24"/>
                <w:szCs w:val="24"/>
              </w:rPr>
              <w:t>未提供相关内容或提供的内容与本项目不相符得0分。</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根据配送方案对本项目的适配性、配送效率和配送保证措施和承诺进行综合评定。</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分一档（14-20分）、二档（7-13分）、三档（6分以下）进行评分。</w:t>
            </w:r>
          </w:p>
        </w:tc>
      </w:tr>
      <w:tr>
        <w:trPr>
          <w:trHeight w:val="1372"/>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质量保证方案</w:t>
            </w:r>
          </w:p>
          <w:p>
            <w:pPr>
              <w:spacing w:line="400" w:lineRule="exact"/>
              <w:jc w:val="center"/>
              <w:rPr>
                <w:rFonts w:eastAsia="方正仿宋_GBK" w:cs="宋体"/>
                <w:b/>
                <w:bCs/>
                <w:sz w:val="24"/>
              </w:rPr>
            </w:pPr>
            <w:r>
              <w:rPr>
                <w:rFonts w:eastAsia="方正仿宋_GBK" w:cs="宋体"/>
                <w:b/>
                <w:bCs/>
                <w:sz w:val="24"/>
              </w:rPr>
              <w:t>（20分）</w:t>
            </w:r>
          </w:p>
        </w:tc>
        <w:tc>
          <w:tcPr>
            <w:tcW w:w="6131" w:type="dxa"/>
            <w:vAlign w:val="center"/>
          </w:tcPr>
          <w:p>
            <w:pPr>
              <w:spacing w:line="400" w:lineRule="exact"/>
              <w:rPr>
                <w:rFonts w:ascii="宋体" w:eastAsia="宋体" w:cs="宋体"/>
                <w:color w:val="000000"/>
                <w:kern w:val="0"/>
                <w:sz w:val="24"/>
                <w:szCs w:val="24"/>
              </w:rPr>
            </w:pPr>
            <w:r>
              <w:rPr>
                <w:rFonts w:ascii="宋体" w:eastAsia="宋体" w:cs="宋体"/>
                <w:color w:val="000000"/>
                <w:kern w:val="0"/>
                <w:sz w:val="24"/>
                <w:szCs w:val="24"/>
              </w:rPr>
              <w:t>未提供相关内容或提供的内容与本项目不相符得0分。</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根据质量保证方案对本项目的合理性、针对性以及提供的质量保证规章制度、质量检验方案等进行综合评定。</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分一档（14-20分）、二档（7-13分）、三档（6分以下）进行评分。</w:t>
            </w:r>
          </w:p>
        </w:tc>
      </w:tr>
      <w:tr>
        <w:trPr>
          <w:trHeight w:val="1589"/>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售后服务方案</w:t>
            </w:r>
          </w:p>
          <w:p>
            <w:pPr>
              <w:spacing w:line="400" w:lineRule="exact"/>
              <w:jc w:val="center"/>
              <w:rPr>
                <w:rFonts w:eastAsia="方正仿宋_GBK" w:cs="宋体"/>
                <w:b/>
                <w:bCs/>
                <w:sz w:val="24"/>
              </w:rPr>
            </w:pPr>
            <w:r>
              <w:rPr>
                <w:rFonts w:eastAsia="方正仿宋_GBK" w:cs="宋体" w:hint="eastAsia"/>
                <w:b/>
                <w:bCs/>
                <w:sz w:val="24"/>
              </w:rPr>
              <w:t>（</w:t>
            </w:r>
            <w:r>
              <w:rPr>
                <w:rFonts w:eastAsia="方正仿宋_GBK" w:cs="宋体"/>
                <w:b/>
                <w:bCs/>
                <w:sz w:val="24"/>
              </w:rPr>
              <w:t>20</w:t>
            </w:r>
            <w:r>
              <w:rPr>
                <w:rFonts w:eastAsia="方正仿宋_GBK" w:cs="宋体" w:hint="eastAsia"/>
                <w:b/>
                <w:bCs/>
                <w:sz w:val="24"/>
              </w:rPr>
              <w:t>分）</w:t>
            </w:r>
          </w:p>
        </w:tc>
        <w:tc>
          <w:tcPr>
            <w:tcW w:w="6131" w:type="dxa"/>
            <w:vAlign w:val="center"/>
          </w:tcPr>
          <w:p>
            <w:pPr>
              <w:spacing w:line="400" w:lineRule="exact"/>
              <w:rPr>
                <w:rFonts w:ascii="宋体" w:eastAsia="宋体" w:cs="宋体"/>
                <w:color w:val="000000"/>
                <w:kern w:val="0"/>
                <w:sz w:val="24"/>
                <w:szCs w:val="24"/>
              </w:rPr>
            </w:pPr>
            <w:r>
              <w:rPr>
                <w:rFonts w:ascii="宋体" w:eastAsia="宋体" w:cs="宋体"/>
                <w:color w:val="000000"/>
                <w:kern w:val="0"/>
                <w:sz w:val="24"/>
                <w:szCs w:val="24"/>
              </w:rPr>
              <w:t>未提供相关内容或提供的内容与本项目不相符得0分。</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根据售后服务方案对本项目的合理性、可行性，服务流程、团队、时限承诺等进行综合评定。</w:t>
            </w:r>
          </w:p>
          <w:p>
            <w:pPr>
              <w:spacing w:line="400" w:lineRule="exact"/>
              <w:rPr>
                <w:rFonts w:ascii="宋体" w:eastAsia="宋体" w:cs="宋体"/>
                <w:color w:val="000000"/>
                <w:kern w:val="0"/>
                <w:sz w:val="24"/>
                <w:szCs w:val="24"/>
              </w:rPr>
            </w:pPr>
            <w:r>
              <w:rPr>
                <w:rFonts w:ascii="宋体" w:eastAsia="宋体" w:cs="宋体"/>
                <w:color w:val="000000"/>
                <w:kern w:val="0"/>
                <w:sz w:val="24"/>
                <w:szCs w:val="24"/>
              </w:rPr>
              <w:t>分一档（14-20分）、二档（7-13分）、三档（6分以下）进行评分。</w:t>
            </w:r>
          </w:p>
        </w:tc>
      </w:tr>
      <w:tr>
        <w:trPr>
          <w:trHeight w:val="444"/>
        </w:trPr>
        <w:tc>
          <w:tcPr>
            <w:tcW w:w="485" w:type="dxa"/>
            <w:vAlign w:val="center"/>
          </w:tcPr>
          <w:p>
            <w:pPr>
              <w:spacing w:line="400" w:lineRule="exact"/>
              <w:jc w:val="center"/>
              <w:rPr>
                <w:rFonts w:ascii="宋体" w:eastAsia="宋体" w:cs="Arial"/>
                <w:sz w:val="24"/>
                <w:szCs w:val="24"/>
              </w:rPr>
            </w:pPr>
            <w:r>
              <w:rPr>
                <w:rFonts w:ascii="宋体" w:eastAsia="宋体" w:cs="Arial"/>
                <w:sz w:val="24"/>
                <w:szCs w:val="24"/>
              </w:rPr>
              <w:t>3</w:t>
            </w:r>
          </w:p>
        </w:tc>
        <w:tc>
          <w:tcPr>
            <w:tcW w:w="2381" w:type="dxa"/>
            <w:gridSpan w:val="2"/>
            <w:tcBorders>
              <w:left w:val="single" w:sz="4" w:space="0" w:color="auto"/>
            </w:tcBorders>
            <w:vAlign w:val="center"/>
          </w:tcPr>
          <w:p>
            <w:pPr>
              <w:spacing w:line="400" w:lineRule="exact"/>
              <w:jc w:val="center"/>
              <w:rPr>
                <w:rFonts w:ascii="宋体" w:eastAsia="宋体" w:cs="宋体"/>
                <w:b/>
                <w:bCs/>
                <w:sz w:val="24"/>
                <w:szCs w:val="24"/>
              </w:rPr>
            </w:pPr>
            <w:r>
              <w:rPr>
                <w:rFonts w:eastAsia="方正仿宋_GBK" w:cs="宋体"/>
                <w:b/>
                <w:bCs/>
                <w:sz w:val="24"/>
              </w:rPr>
              <w:t>商务分</w:t>
            </w:r>
            <w:r>
              <w:rPr>
                <w:rFonts w:ascii="宋体" w:eastAsia="宋体" w:cs="宋体" w:hint="eastAsia"/>
                <w:b/>
                <w:bCs/>
                <w:sz w:val="24"/>
                <w:szCs w:val="24"/>
              </w:rPr>
              <w:t>（</w:t>
            </w:r>
            <w:r>
              <w:rPr>
                <w:rFonts w:ascii="宋体" w:eastAsia="宋体" w:cs="宋体"/>
                <w:b/>
                <w:bCs/>
                <w:sz w:val="24"/>
                <w:szCs w:val="24"/>
              </w:rPr>
              <w:t>10</w:t>
            </w:r>
            <w:r>
              <w:rPr>
                <w:rFonts w:ascii="宋体" w:eastAsia="宋体" w:cs="宋体" w:hint="eastAsia"/>
                <w:b/>
                <w:bCs/>
                <w:sz w:val="24"/>
                <w:szCs w:val="24"/>
              </w:rPr>
              <w:t>分）</w:t>
            </w:r>
          </w:p>
        </w:tc>
        <w:tc>
          <w:tcPr>
            <w:tcW w:w="6131" w:type="dxa"/>
          </w:tcPr>
          <w:p>
            <w:pPr>
              <w:spacing w:line="400" w:lineRule="exact"/>
              <w:rPr>
                <w:rFonts w:ascii="宋体" w:eastAsia="宋体" w:cs="宋体"/>
                <w:color w:val="000000"/>
                <w:kern w:val="0"/>
                <w:sz w:val="24"/>
                <w:szCs w:val="24"/>
              </w:rPr>
            </w:pPr>
            <w:r>
              <w:rPr>
                <w:rFonts w:ascii="宋体" w:eastAsia="宋体" w:cs="宋体"/>
                <w:color w:val="000000"/>
                <w:kern w:val="0"/>
                <w:sz w:val="24"/>
                <w:szCs w:val="24"/>
              </w:rPr>
              <w:t>供应商自2023年1月1日至今承接有类似业绩，每个业绩得5分，满分10分。（提供有效合同关键页复印件或中标/成交通知书复印件并加盖供应商公章，否则不予计分）</w:t>
            </w:r>
            <w:r>
              <w:rPr>
                <w:rFonts w:ascii="宋体" w:eastAsia="宋体" w:cs="宋体" w:hint="eastAsia"/>
                <w:color w:val="000000"/>
                <w:kern w:val="0"/>
                <w:sz w:val="24"/>
                <w:szCs w:val="24"/>
              </w:rPr>
              <w:t>。</w:t>
            </w:r>
          </w:p>
        </w:tc>
      </w:tr>
    </w:tbl>
    <w:p>
      <w:pPr>
        <w:spacing w:line="480" w:lineRule="exact"/>
        <w:ind w:firstLineChars="200" w:firstLine="560"/>
        <w:rPr>
          <w:rFonts w:ascii="方正楷体_GBK" w:eastAsia="方正楷体_GBK" w:hint="eastAsia"/>
          <w:b/>
          <w:color w:val="000000"/>
          <w:sz w:val="28"/>
          <w:szCs w:val="28"/>
        </w:rPr>
      </w:pPr>
      <w:r>
        <w:rPr>
          <w:rFonts w:ascii="方正楷体_GBK" w:eastAsia="方正楷体_GBK" w:hint="eastAsia"/>
          <w:b/>
          <w:color w:val="000000"/>
          <w:sz w:val="28"/>
          <w:szCs w:val="28"/>
        </w:rPr>
        <w:t>（三）成交候选人确定/推荐原则</w:t>
      </w:r>
    </w:p>
    <w:p>
      <w:pPr>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w:t>
      </w:r>
      <w:r>
        <w:rPr>
          <w:rFonts w:ascii="方正仿宋_GBK" w:eastAsia="方正仿宋_GBK"/>
          <w:color w:val="000000"/>
          <w:sz w:val="28"/>
          <w:szCs w:val="28"/>
        </w:rPr>
        <w:t>价格分、技术分、商务分</w:t>
      </w:r>
      <w:r>
        <w:rPr>
          <w:rFonts w:ascii="方正仿宋_GBK" w:eastAsia="方正仿宋_GBK" w:hint="eastAsia"/>
          <w:color w:val="000000"/>
          <w:sz w:val="28"/>
          <w:szCs w:val="28"/>
        </w:rPr>
        <w:t>的顺序排列），并依照次序确定/推荐成交候选人。</w:t>
      </w:r>
    </w:p>
    <w:p>
      <w:pPr>
        <w:spacing w:line="480" w:lineRule="exact"/>
        <w:ind w:firstLine="630"/>
        <w:rPr>
          <w:rFonts w:eastAsia="方正仿宋_GBK"/>
          <w:color w:val="FF0000"/>
          <w:sz w:val="28"/>
          <w:szCs w:val="28"/>
        </w:rPr>
      </w:pPr>
      <w:bookmarkStart w:id="0" w:name="_GoBack"/>
      <w:r>
        <w:rPr>
          <w:rFonts w:eastAsia="方正黑体_GBK" w:hint="eastAsia"/>
          <w:color w:val="000000"/>
          <w:sz w:val="28"/>
          <w:szCs w:val="28"/>
          <w:lang w:val="en-US" w:eastAsia="zh-CN"/>
        </w:rPr>
        <w:t>五</w:t>
      </w:r>
      <w:r>
        <w:rPr>
          <w:rFonts w:eastAsia="方正黑体_GBK"/>
          <w:color w:val="000000"/>
          <w:sz w:val="28"/>
          <w:szCs w:val="28"/>
        </w:rPr>
        <w:t>、评审地点</w:t>
      </w:r>
      <w:r>
        <w:rPr>
          <w:rFonts w:eastAsia="方正仿宋_GBK"/>
          <w:color w:val="000000"/>
          <w:sz w:val="28"/>
          <w:szCs w:val="28"/>
        </w:rPr>
        <w:t>：</w:t>
      </w:r>
      <w:bookmarkEnd w:id="0"/>
      <w:r>
        <w:rPr>
          <w:rFonts w:eastAsia="方正仿宋_GBK"/>
          <w:color w:val="000000"/>
          <w:sz w:val="28"/>
          <w:szCs w:val="28"/>
          <w:lang w:val="en-US" w:eastAsia="zh-CN"/>
        </w:rPr>
        <w:t>广西凭祥市友谊关口岸申报中心大楼4楼会议室。</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0" w:usb1="00000000" w:usb2="00000010" w:usb3="00000000" w:csb0="00040000" w:csb1="00000000"/>
  </w:font>
  <w:font w:name="方正黑体_GBK">
    <w:altName w:val="微软雅黑"/>
    <w:panose1 w:val="03000509000000000000"/>
    <w:charset w:val="86"/>
    <w:family w:val="script"/>
    <w:pitch w:val="variable"/>
    <w:sig w:usb0="00000000" w:usb1="00000000" w:usb2="00000010" w:usb3="00000000" w:csb0="00040000" w:csb1="00000000"/>
  </w:font>
  <w:font w:name="方正楷体_GBK">
    <w:altName w:val="微软雅黑"/>
    <w:panose1 w:val="03000509000000000000"/>
    <w:charset w:val="86"/>
    <w:family w:val="script"/>
    <w:pitch w:val="variable"/>
    <w:sig w:usb0="00000000" w:usb1="00000000" w:usb2="00000010" w:usb3="00000000" w:csb0="00040000" w:csb1="00000000"/>
  </w:font>
  <w:font w:name="方正仿宋_GBK">
    <w:altName w:val="微软雅黑"/>
    <w:panose1 w:val="03000509000000000000"/>
    <w:charset w:val="86"/>
    <w:family w:val="script"/>
    <w:pitch w:val="variable"/>
    <w:sig w:usb0="00000000" w:usb1="00000000" w:usb2="00000010" w:usb3="00000000" w:csb0="00040000" w:csb1="00000000"/>
  </w:font>
  <w:font w:name="宋体">
    <w:panose1 w:val="02010600030101010101"/>
    <w:charset w:val="86"/>
    <w:family w:val="auto"/>
    <w:pitch w:val="variable"/>
    <w:sig w:usb0="000002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Times New Roman">
    <w:panose1 w:val="02020603050405020304"/>
    <w:charset w:val="00"/>
    <w:family w:val="roman"/>
    <w:pitch w:val="variable"/>
    <w:sig w:usb0="20007A87" w:usb1="80000000" w:usb2="00000008"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68"/>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character" w:default="1" w:styleId="10">
    <w:name w:val="Default Paragraph Font"/>
  </w:style>
  <w:style w:type="paragraph" w:customStyle="1" w:styleId="123">
    <w:name w:val="样式 10 磅"/>
    <w:pPr>
      <w:widowControl w:val="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1</Pages>
  <Words>7</Words>
  <Characters>7</Characters>
  <Lines>1</Lines>
  <Paragraphs>0</Paragraphs>
  <CharactersWithSpaces>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谢正昌</cp:lastModifiedBy>
  <cp:revision>0</cp:revision>
  <dcterms:created xsi:type="dcterms:W3CDTF">2026-08-19T01:29:00Z</dcterms:created>
  <dcterms:modified xsi:type="dcterms:W3CDTF">2026-08-28T03:21:09Z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eyJoZGlkIjoiZDI3YTI4NTZiNzQ2MWVhYjJlMWM3OGM3ZjkzZTFlMzkiLCJ1c2VySWQiOiI0MDI5NTMwMjkifQ==</vt:lpwstr>
  </property>
  <property fmtid="{D5CDD505-2E9C-101B-9397-08002B2CF9AE}" pid="4" name="ICV">
    <vt:lpwstr>A8F243457BBE44458760CE31EEFAC6E7_12</vt:lpwstr>
  </property>
</Properties>
</file>