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2"/>
        <w:spacing w:line="580" w:lineRule="exact"/>
        <w:ind w:left="0"/>
        <w:jc w:val="center"/>
        <w:rPr>
          <w:rFonts w:ascii="方正黑体_GBK" w:eastAsia="方正黑体_GBK" w:cs="方正小标宋_GBK" w:hint="eastAsia"/>
          <w:szCs w:val="32"/>
        </w:rPr>
      </w:pPr>
      <w:bookmarkStart w:id="0" w:name="_Hlk25540369"/>
      <w:bookmarkStart w:id="1" w:name="cogw__正文__file"/>
      <w:bookmarkStart w:id="2" w:name="_GoBack"/>
      <w:bookmarkEnd w:id="2"/>
      <w:r>
        <w:rPr>
          <w:rFonts w:ascii="方正小标宋_GBK" w:eastAsia="方正小标宋_GBK" w:cs="方正小标宋_GBK"/>
          <w:color w:val="auto"/>
          <w:sz w:val="44"/>
          <w:szCs w:val="44"/>
          <w:lang w:bidi="ar-SA"/>
        </w:rPr>
        <w:t>河池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海关2025年政府信息公开工作年度报告</w:t>
      </w:r>
      <w:bookmarkEnd w:id="0"/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0"/>
        <w:jc w:val="both"/>
        <w:rPr>
          <w:rFonts w:ascii="楷体_GB2312" w:eastAsia="楷体_GB2312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</w:p>
    <w:p>
      <w:pPr>
        <w:pStyle w:val="48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right w:val="none" w:sz="0" w:space="0" w:color="auto"/>
        </w:pBdr>
        <w:shd w:val="clear" w:color="auto" w:fill="FFFFFF"/>
        <w:suppressAutoHyphens w:val="0"/>
        <w:kinsoku/>
        <w:wordWrap/>
        <w:overflowPunct/>
        <w:topLinePunct w:val="0"/>
        <w:autoSpaceDE/>
        <w:autoSpaceDN w:val="0"/>
        <w:adjustRightInd w:val="0"/>
        <w:snapToGrid w:val="0"/>
        <w:ind w:firstLineChars="200" w:firstLine="624"/>
        <w:rPr>
          <w:shd w:val="clear" w:color="auto" w:fill="auto"/>
        </w:rPr>
      </w:pPr>
      <w:r>
        <w:rPr>
          <w:rFonts w:ascii="Times New Roman" w:eastAsia="方正仿宋_GBK" w:cs="Times New Roman" w:hAnsi="Times New Roman"/>
          <w:color w:val="auto"/>
          <w:sz w:val="32"/>
          <w:szCs w:val="32"/>
          <w:lang w:eastAsia="zh-CN" w:bidi="ar-SA"/>
        </w:rPr>
        <w:t>本报告根据《中华人民共和国政府信息公开条例》《国务院办公厅政府信息与政务公开办公室关于印发〈中华人民共和国政府信息公开工作年度报告格式〉的通知》（国办公开办函〔2021〕30号）等规定，梳理2025年度河池海关政府信息公开工作情况编制而成。报告中所列数据的统计期限，自2025年1月1日起至2025年12月31日止。如对报告有意见、建议，请联系河池海关办公室（电话：</w:t>
      </w:r>
      <w:r>
        <w:rPr>
          <w:rFonts w:cs="Times New Roman" w:hint="eastAsia"/>
          <w:color w:val="auto"/>
          <w:sz w:val="32"/>
          <w:szCs w:val="32"/>
          <w:lang w:val="en-US" w:eastAsia="zh-CN" w:bidi="ar-SA"/>
        </w:rPr>
        <w:t>0778-2307731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eastAsia="zh-CN" w:bidi="ar-SA"/>
        </w:rPr>
        <w:t>；电子邮箱：</w:t>
      </w:r>
      <w:r>
        <w:rPr>
          <w:rFonts w:cs="Times New Roman" w:hint="eastAsia"/>
          <w:color w:val="auto"/>
          <w:sz w:val="32"/>
          <w:szCs w:val="32"/>
          <w:lang w:val="en-US" w:eastAsia="zh-CN" w:bidi="ar-SA"/>
        </w:rPr>
        <w:t>hchg2307731@163.com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eastAsia="zh-CN" w:bidi="ar-SA"/>
        </w:rPr>
        <w:t>）。</w:t>
      </w: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color w:val="000000"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color w:val="000000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49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Chars="200" w:firstLine="624"/>
        <w:jc w:val="both"/>
        <w:outlineLvl w:val="9"/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eastAsia="zh-CN" w:bidi="ar-SA"/>
        </w:rPr>
      </w:pPr>
      <w:r>
        <w:rPr>
          <w:rFonts w:ascii="Times New Roman" w:eastAsia="方正仿宋_GBK" w:cs="Times New Roman" w:hAnsi="Times New Roman"/>
          <w:color w:val="auto"/>
          <w:spacing w:val="-4"/>
          <w:kern w:val="2"/>
          <w:sz w:val="32"/>
          <w:szCs w:val="32"/>
          <w:vertAlign w:val="baseline"/>
          <w:lang w:bidi="ar-SA"/>
        </w:rPr>
        <w:t>202</w:t>
      </w:r>
      <w:r>
        <w:rPr>
          <w:rFonts w:ascii="Times New Roman" w:eastAsia="方正仿宋_GBK" w:cs="Times New Roman" w:hAnsi="Times New Roman"/>
          <w:color w:val="auto"/>
          <w:spacing w:val="-4"/>
          <w:kern w:val="2"/>
          <w:sz w:val="32"/>
          <w:szCs w:val="32"/>
          <w:vertAlign w:val="baseline"/>
          <w:lang w:val="en-US" w:eastAsia="zh-CN" w:bidi="ar-SA"/>
        </w:rPr>
        <w:t>5</w:t>
      </w:r>
      <w:r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bidi="ar-SA"/>
        </w:rPr>
        <w:t>年我关</w:t>
      </w:r>
      <w:r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eastAsia="zh-CN" w:bidi="ar-SA"/>
        </w:rPr>
        <w:t>坚持以习近平新时代中国特色社会主义思想为指导，</w:t>
      </w:r>
      <w:r>
        <w:rPr>
          <w:rFonts w:ascii="方正仿宋_GBK" w:cs="Arial" w:hint="eastAsia"/>
          <w:lang w:bidi="ar-SA"/>
        </w:rPr>
        <w:t>认真学习贯彻党的二十届四中全会精神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vertAlign w:val="baseline"/>
          <w:lang w:eastAsia="zh-CN" w:bidi="ar-SA"/>
        </w:rPr>
        <w:t>，</w:t>
      </w:r>
      <w:r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eastAsia="zh-CN" w:bidi="ar-SA"/>
        </w:rPr>
        <w:t>严格执行</w:t>
      </w:r>
      <w:r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bidi="ar-SA"/>
        </w:rPr>
        <w:t>《中华人民共和国政府信息公开条例》等法规及相关文件精神，坚持</w:t>
      </w:r>
      <w:r>
        <w:rPr>
          <w:rFonts w:ascii="方正仿宋_GBK" w:eastAsia="方正仿宋_GBK" w:cs="Arial" w:hint="eastAsia"/>
          <w:color w:val="auto"/>
          <w:spacing w:val="-4"/>
          <w:kern w:val="2"/>
          <w:sz w:val="32"/>
          <w:szCs w:val="32"/>
          <w:vertAlign w:val="baseline"/>
          <w:lang w:eastAsia="zh-CN" w:bidi="ar-SA"/>
        </w:rPr>
        <w:t>高标准严要求，积极推进政务公开工作，切实保障公众的知情权、参与权和监督权。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  <w:t>（一）主动公开工作情况。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left="0" w:firstLineChars="200" w:firstLine="640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  <w:highlight w:val="yellow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  <w:t>结合工作实际，按要求在南宁海关门户网站发布行政执法公示、政府采购、财务预决算、政策法规、办事指南、动态更新人员和办公电话等信息。在报关大厅公开政策法规、业务办理指南、执法人员信息、投诉举报电话等内容，充分保障群众的知情权、参与权和监督权。2025年我关在门户网站上主动公开政府信息共计</w:t>
      </w:r>
      <w:r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21</w:t>
      </w:r>
      <w:r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  <w:t>条。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left="0" w:firstLineChars="200" w:firstLine="640"/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  <w:t>（二）依申请公开工作情况。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  <w:t>根据《中华人民共和国政府信息公开条例》、《河池海关政府信息依申请公开工作规范》等相关要求，对依申请公开政府信息的登记、审核、办理、答复、归档文件进行全过程备案，规范答复申请人提出公开申请。2025年收到政府信息公开申请1条并按时依规处理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left="0" w:firstLineChars="200" w:firstLine="640"/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  <w:t>（三）政府信息管理工作情况。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  <w:t>不断健全政务公开各项制度，完善政务公开工作机制，优化信息发布流程，构建办公室归口管理、其他科室协同配合的工作格局。严格执行信息公开保密审查制度，遵循“先审查、后公开”的原则，实行逐级审批程序，确保信息发布及时、权威、准确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楷体_GBK" w:hAnsi="Times New Roman" w:hint="eastAsia"/>
          <w:b/>
          <w:bCs/>
          <w:color w:val="000000"/>
          <w:sz w:val="32"/>
          <w:szCs w:val="32"/>
          <w:shd w:val="clear" w:color="auto" w:fill="FFFFFF"/>
        </w:rPr>
        <w:t>（四）政府信息公开平台建设。</w:t>
      </w:r>
    </w:p>
    <w:p>
      <w:pPr>
        <w:pStyle w:val="3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  <w:t>在报关大厅设置标识清楚、方便实用的政务公开专区，及时公开政策法规、服务事项等内容。运用南宁海关门户网站、微信公众号、关企微信群等线上渠道，扩大公众互动交流范围，及时答疑解惑，宣传最新政策法规和改革创新举措。每月开展“关长接待日”活动，面对面听取群众心声，切实提升了人民群众的满意度和获得感。</w:t>
      </w:r>
    </w:p>
    <w:p>
      <w:pPr>
        <w:pStyle w:val="34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3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3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29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5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5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5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5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5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5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Lines="50" w:before="218" w:beforeAutospacing="0" w:after="120" w:afterAutospacing="0"/>
        <w:ind w:left="0" w:firstLineChars="200" w:firstLine="640"/>
        <w:jc w:val="both"/>
        <w:rPr>
          <w:rFonts w:ascii="宋体" w:cs="宋体" w:hint="eastAsia"/>
          <w:color w:val="auto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（一）2024年年报中所提问题整改情况。</w:t>
      </w:r>
      <w:r>
        <w:rPr>
          <w:rFonts w:ascii="方正仿宋_GBK" w:hint="eastAsia"/>
        </w:rPr>
        <w:t>针对上年度指出的</w:t>
      </w:r>
      <w:r>
        <w:t>政务公开标准化、规范化能力丞待提高，政务公开审核流程不够规范，信息公开不及时的问题，我关高度重视并认真整改。一是加强业务培训与指导。定期组织政务公开岗位负责同志开展专题培训，重点学习政务公开方面的规章制度、公开标准、平台操作。建立业务交流机制，通过案例研讨、经验分享等方式，提升岗位人员的政策理解力和实操能力。二是</w:t>
      </w:r>
      <w:r>
        <w:rPr>
          <w:rFonts w:hint="eastAsia"/>
        </w:rPr>
        <w:t>强化流程监督与归档管理，明确信息发布人员对“拟稿-审核-发布”全流程进行跟踪监督，并系统梳理、存档备查每一则公开信息对应的原文件与保密审查单等过程材料。</w:t>
      </w:r>
      <w:r>
        <w:t>　</w:t>
      </w:r>
    </w:p>
    <w:p>
      <w:pPr>
        <w:pStyle w:val="42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ascii="方正仿宋_GBK" w:hint="eastAsia"/>
        </w:rPr>
        <w:t>我关部分科室在执行政府信息公开过程中，</w:t>
      </w:r>
      <w:r>
        <w:rPr>
          <w:rFonts w:ascii="方正仿宋_GBK"/>
        </w:rPr>
        <w:t>存在</w:t>
      </w:r>
      <w:r>
        <w:rPr>
          <w:rFonts w:hint="eastAsia"/>
        </w:rPr>
        <w:t>公开内容不准确。联络员及审核员对文件审核存在缺漏，出现政务信息“先更新后更正”的工作情况。</w:t>
      </w:r>
    </w:p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43"/>
        <w:adjustRightInd w:val="0"/>
        <w:snapToGrid w:val="0"/>
        <w:ind w:firstLineChars="200" w:firstLine="624"/>
      </w:pPr>
      <w:r>
        <w:t>2025年无收取信息处理费情况。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5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- 1 -</w:t>
    </w:r>
    <w:r>
      <w:rPr>
        <w:rStyle w:val="31"/>
      </w:rPr>
      <w:fldChar w:fldCharType="end"/>
    </w:r>
  </w:p>
  <w:p>
    <w:pPr>
      <w:pStyle w:val="45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4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31"/>
      </w:rPr>
      <w:fldChar w:fldCharType="begin"/>
    </w:r>
    <w:r>
      <w:rPr>
        <w:rStyle w:val="31"/>
      </w:rPr>
      <w:instrText>Page</w:instrText>
    </w:r>
    <w:r>
      <w:rPr>
        <w:rStyle w:val="31"/>
      </w:rPr>
      <w:fldChar w:fldCharType="separate"/>
    </w:r>
    <w:r>
      <w:rPr>
        <w:rStyle w:val="31"/>
      </w:rPr>
      <w:t>- 2 -</w:t>
    </w:r>
    <w:r>
      <w:rPr>
        <w:rStyle w:val="31"/>
      </w:rPr>
      <w:fldChar w:fldCharType="end"/>
    </w:r>
  </w:p>
  <w:p>
    <w:pPr>
      <w:pStyle w:val="44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4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F54C6AF"/>
    <w:multiLevelType w:val="singleLevel"/>
    <w:tmpl w:val="2F54C6AF"/>
    <w:lvl w:ilvl="0">
      <w:start w:val="1"/>
      <w:numFmt w:val="bullet"/>
      <w:lvlRestart w:val="0"/>
      <w:pStyle w:val="20"/>
      <w:lvlText w:val=""/>
      <w:lvlJc w:val="left"/>
      <w:pPr>
        <w:ind w:left="2040" w:hanging="360"/>
      </w:pPr>
      <w:rPr>
        <w:rFonts w:ascii="Wingdings" w:hAnsi="Wingdings" w:hint="default"/>
      </w:rPr>
    </w:lvl>
  </w:abstractNum>
  <w:abstractNum w:abstractNumId="1">
    <w:nsid w:val="0FFFFF7D"/>
    <w:multiLevelType w:val="singleLevel"/>
    <w:tmpl w:val="0FFFFF7D"/>
    <w:lvl w:ilvl="0">
      <w:start w:val="1"/>
      <w:numFmt w:val="decimal"/>
      <w:lvlRestart w:val="0"/>
      <w:pStyle w:val="21"/>
      <w:lvlText w:val="%1."/>
      <w:lvlJc w:val="left"/>
      <w:pPr>
        <w:ind w:left="16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6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>
    <w:docVar w:name="commondata" w:val="eyJoZGlkIjoiYmQ4Yzc4NWEwY2M3N2NlYWM5M2FiZDFmY2QwZjljMm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toc 7"/>
    <w:basedOn w:val="0"/>
    <w:autoRedefine/>
    <w:next w:val="0"/>
    <w:pPr>
      <w:ind w:left="2520"/>
    </w:pPr>
  </w:style>
  <w:style w:type="paragraph" w:styleId="17">
    <w:name w:val="table of authorities"/>
    <w:basedOn w:val="0"/>
    <w:next w:val="0"/>
    <w:pPr>
      <w:ind w:left="420"/>
    </w:pPr>
  </w:style>
  <w:style w:type="paragraph" w:styleId="18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19">
    <w:name w:val="index 6"/>
    <w:basedOn w:val="0"/>
    <w:autoRedefine/>
    <w:next w:val="0"/>
    <w:pPr>
      <w:ind w:left="2100"/>
    </w:pPr>
  </w:style>
  <w:style w:type="paragraph" w:styleId="20">
    <w:name w:val="List Bullet 5"/>
    <w:basedOn w:val="0"/>
    <w:pPr>
      <w:numPr>
        <w:ilvl w:val="0"/>
        <w:numId w:val="1"/>
      </w:numPr>
    </w:pPr>
  </w:style>
  <w:style w:type="paragraph" w:styleId="21">
    <w:name w:val="List Number 4"/>
    <w:basedOn w:val="0"/>
    <w:pPr>
      <w:numPr>
        <w:ilvl w:val="0"/>
        <w:numId w:val="2"/>
      </w:numPr>
    </w:pPr>
  </w:style>
  <w:style w:type="paragraph" w:styleId="22">
    <w:name w:val="toc 8"/>
    <w:basedOn w:val="0"/>
    <w:autoRedefine/>
    <w:next w:val="0"/>
    <w:pPr>
      <w:ind w:left="2940"/>
    </w:pPr>
  </w:style>
  <w:style w:type="paragraph" w:styleId="23">
    <w:name w:val="footer"/>
    <w:next w:val="1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4">
    <w:name w:val="Signature"/>
    <w:basedOn w:val="0"/>
    <w:pPr>
      <w:ind w:left="4320"/>
    </w:pPr>
  </w:style>
  <w:style w:type="paragraph" w:styleId="25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26">
    <w:name w:val="index 7"/>
    <w:basedOn w:val="0"/>
    <w:autoRedefine/>
    <w:next w:val="0"/>
    <w:pPr>
      <w:ind w:left="2520"/>
    </w:pPr>
  </w:style>
  <w:style w:type="paragraph" w:styleId="27">
    <w:name w:val="List 4"/>
    <w:basedOn w:val="0"/>
    <w:pPr>
      <w:ind w:left="1680" w:hanging="420"/>
    </w:pPr>
  </w:style>
  <w:style w:type="paragraph" w:styleId="28">
    <w:name w:val="List Continue 2"/>
    <w:basedOn w:val="0"/>
    <w:pPr>
      <w:spacing w:after="120"/>
      <w:ind w:left="840"/>
    </w:pPr>
  </w:style>
  <w:style w:type="paragraph" w:styleId="29">
    <w:name w:val="Normal (Web)"/>
    <w:next w:val="19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styleId="30">
    <w:name w:val="List Continue 3"/>
    <w:basedOn w:val="0"/>
    <w:pPr>
      <w:spacing w:after="120"/>
      <w:ind w:left="1260"/>
    </w:pPr>
  </w:style>
  <w:style w:type="character" w:styleId="31">
    <w:name w:val="page number"/>
  </w:style>
  <w:style w:type="paragraph" w:customStyle="1" w:styleId="32">
    <w:name w:val="样式 6 三号"/>
    <w:next w:val="17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33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34">
    <w:name w:val="样式 50 三号"/>
    <w:next w:val="1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5 小三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6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8 小三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7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2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8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13 三号"/>
    <w:next w:val="2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3">
    <w:name w:val="样式 7 三号"/>
    <w:next w:val="1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4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5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6">
    <w:name w:val="样式 2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7">
    <w:name w:val="样式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48">
    <w:name w:val="样式 11 三号"/>
    <w:next w:val="46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firstLine="0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32"/>
      <w:lang w:val="en-US" w:eastAsia="zh-CN" w:bidi="ar-SA"/>
    </w:rPr>
  </w:style>
  <w:style w:type="paragraph" w:customStyle="1" w:styleId="49">
    <w:name w:val="样式 14 三号"/>
    <w:next w:val="27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firstLine="0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126</TotalTime>
  <Application>Yozo_Office</Application>
  <Pages>6</Pages>
  <Words>2169</Words>
  <Characters>2252</Characters>
  <Lines>421</Lines>
  <Paragraphs>307</Paragraphs>
  <CharactersWithSpaces>2253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蒙韦书</dc:creator>
  <cp:lastModifiedBy>蒙韦书</cp:lastModifiedBy>
  <cp:revision>1</cp:revision>
  <cp:lastPrinted>2026-01-26T07:48:00Z</cp:lastPrinted>
  <dcterms:created xsi:type="dcterms:W3CDTF">2026-01-14T01:47:00Z</dcterms:created>
  <dcterms:modified xsi:type="dcterms:W3CDTF">2026-01-28T09:26:53Z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2052-12.1.0.18276</vt:lpwstr>
  </property>
  <property fmtid="{D5CDD505-2E9C-101B-9397-08002B2CF9AE}" pid="3" name="ICV">
    <vt:lpwstr>83B885C9D3CF4D6A83F897346D363316_13</vt:lpwstr>
  </property>
</Properties>
</file>