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40" w:lineRule="exact"/>
        <w:jc w:val="center"/>
        <w:rPr>
          <w:rFonts w:eastAsia="方正小标宋_GBK"/>
          <w:bCs/>
          <w:sz w:val="32"/>
          <w:szCs w:val="32"/>
        </w:rPr>
      </w:pPr>
      <w:bookmarkStart w:id="0" w:name="_GoBack"/>
      <w:bookmarkEnd w:id="0"/>
      <w:r>
        <w:rPr>
          <w:rFonts w:eastAsia="方正小标宋_GBK"/>
          <w:bCs/>
          <w:sz w:val="32"/>
          <w:szCs w:val="32"/>
        </w:rPr>
        <w:t>评</w:t>
      </w:r>
      <w:r>
        <w:rPr>
          <w:rFonts w:eastAsia="方正小标宋_GBK" w:hint="eastAsia"/>
          <w:bCs/>
          <w:sz w:val="32"/>
          <w:szCs w:val="32"/>
        </w:rPr>
        <w:t>审</w:t>
      </w:r>
      <w:r>
        <w:rPr>
          <w:rFonts w:eastAsia="方正小标宋_GBK"/>
          <w:bCs/>
          <w:sz w:val="32"/>
          <w:szCs w:val="32"/>
        </w:rPr>
        <w:t>办法</w:t>
      </w:r>
    </w:p>
    <w:p>
      <w:pPr>
        <w:spacing w:line="540" w:lineRule="exact"/>
        <w:jc w:val="center"/>
        <w:rPr>
          <w:rFonts w:ascii="方正小标宋_GBK" w:eastAsia="方正小标宋_GBK" w:hint="eastAsia"/>
          <w:bCs/>
          <w:sz w:val="32"/>
          <w:szCs w:val="32"/>
        </w:rPr>
      </w:pPr>
      <w:r>
        <w:rPr>
          <w:rFonts w:ascii="方正小标宋_GBK" w:eastAsia="方正小标宋_GBK" w:hint="eastAsia"/>
          <w:bCs/>
          <w:sz w:val="32"/>
          <w:szCs w:val="32"/>
        </w:rPr>
        <w:t>（综合评分法）</w:t>
      </w:r>
    </w:p>
    <w:p>
      <w:pPr>
        <w:spacing w:line="480" w:lineRule="exact"/>
        <w:ind w:firstLineChars="200" w:firstLine="560"/>
        <w:rPr>
          <w:rFonts w:eastAsia="方正黑体_GBK"/>
          <w:sz w:val="28"/>
          <w:szCs w:val="28"/>
        </w:rPr>
      </w:pPr>
      <w:r>
        <w:rPr>
          <w:rFonts w:eastAsia="方正黑体_GBK"/>
          <w:sz w:val="28"/>
          <w:szCs w:val="28"/>
        </w:rPr>
        <w:t>一、报价</w:t>
      </w:r>
      <w:r>
        <w:rPr>
          <w:rFonts w:eastAsia="方正黑体_GBK" w:hint="eastAsia"/>
          <w:sz w:val="28"/>
          <w:szCs w:val="28"/>
        </w:rPr>
        <w:t>文件送达及密封检查</w:t>
      </w:r>
    </w:p>
    <w:p>
      <w:pPr>
        <w:spacing w:line="480" w:lineRule="exact"/>
        <w:ind w:firstLineChars="147" w:firstLine="412"/>
        <w:rPr>
          <w:rFonts w:ascii="方正楷体_GBK" w:eastAsia="方正楷体_GBK" w:hint="eastAsia"/>
          <w:b/>
          <w:sz w:val="28"/>
          <w:szCs w:val="28"/>
        </w:rPr>
      </w:pPr>
      <w:r>
        <w:rPr>
          <w:rFonts w:ascii="方正楷体_GBK" w:eastAsia="方正楷体_GBK" w:hint="eastAsia"/>
          <w:b/>
          <w:sz w:val="28"/>
          <w:szCs w:val="28"/>
        </w:rPr>
        <w:t>（一）查看报价文件送达时间：</w:t>
      </w:r>
    </w:p>
    <w:p>
      <w:pPr>
        <w:spacing w:line="480" w:lineRule="exact"/>
        <w:ind w:firstLineChars="200" w:firstLine="560"/>
        <w:rPr>
          <w:rFonts w:eastAsia="方正仿宋_GBK"/>
          <w:sz w:val="28"/>
          <w:szCs w:val="28"/>
        </w:rPr>
      </w:pPr>
      <w:r>
        <w:rPr>
          <w:rFonts w:eastAsia="方正仿宋_GBK" w:hint="eastAsia"/>
          <w:sz w:val="28"/>
          <w:szCs w:val="28"/>
        </w:rPr>
        <w:t>在《采购公告》规定的</w:t>
      </w:r>
      <w:r>
        <w:rPr>
          <w:rFonts w:eastAsia="方正仿宋_GBK"/>
          <w:sz w:val="28"/>
          <w:szCs w:val="28"/>
        </w:rPr>
        <w:t>报价截止时间之前将报价文件送达</w:t>
      </w:r>
      <w:r>
        <w:rPr>
          <w:rFonts w:eastAsia="方正仿宋_GBK" w:hint="eastAsia"/>
          <w:sz w:val="28"/>
          <w:szCs w:val="28"/>
        </w:rPr>
        <w:t>；</w:t>
      </w:r>
    </w:p>
    <w:p>
      <w:pPr>
        <w:spacing w:line="480" w:lineRule="exact"/>
        <w:ind w:firstLineChars="147" w:firstLine="412"/>
        <w:rPr>
          <w:rFonts w:eastAsia="方正楷体_GBK" w:hint="eastAsia"/>
          <w:sz w:val="28"/>
          <w:szCs w:val="28"/>
          <w:lang w:eastAsia="zh-CN"/>
        </w:rPr>
      </w:pPr>
      <w:r>
        <w:rPr>
          <w:rFonts w:ascii="方正楷体_GBK" w:eastAsia="方正楷体_GBK" w:hint="eastAsia"/>
          <w:b/>
          <w:sz w:val="28"/>
          <w:szCs w:val="28"/>
        </w:rPr>
        <w:t>（二）报价文件包装密封要求</w:t>
      </w:r>
      <w:r>
        <w:rPr>
          <w:rFonts w:eastAsia="方正仿宋_GBK" w:hint="eastAsia"/>
          <w:sz w:val="28"/>
          <w:szCs w:val="28"/>
          <w:lang w:eastAsia="zh-CN"/>
        </w:rPr>
        <w:t>：</w:t>
      </w:r>
    </w:p>
    <w:p>
      <w:pPr>
        <w:spacing w:line="480" w:lineRule="exact"/>
        <w:ind w:firstLineChars="200" w:firstLine="560"/>
        <w:rPr>
          <w:rFonts w:eastAsia="方正仿宋_GBK"/>
          <w:sz w:val="28"/>
          <w:szCs w:val="28"/>
        </w:rPr>
      </w:pPr>
      <w:r>
        <w:rPr>
          <w:rFonts w:eastAsia="方正仿宋_GBK" w:hint="eastAsia"/>
          <w:sz w:val="28"/>
          <w:szCs w:val="28"/>
        </w:rPr>
        <w:t>报价</w:t>
      </w:r>
      <w:r>
        <w:rPr>
          <w:rFonts w:eastAsia="方正仿宋_GBK"/>
          <w:sz w:val="28"/>
          <w:szCs w:val="28"/>
        </w:rPr>
        <w:t>人应将所有报价文件装在一个密封袋内，</w:t>
      </w:r>
      <w:r>
        <w:rPr>
          <w:rFonts w:eastAsia="方正仿宋_GBK" w:hint="eastAsia"/>
          <w:sz w:val="28"/>
          <w:szCs w:val="28"/>
        </w:rPr>
        <w:t>报价文件</w:t>
      </w:r>
      <w:r>
        <w:rPr>
          <w:rFonts w:eastAsia="方正仿宋_GBK"/>
          <w:sz w:val="28"/>
          <w:szCs w:val="28"/>
        </w:rPr>
        <w:t>密封袋的封口处应加贴封条并加盖</w:t>
      </w:r>
      <w:r>
        <w:rPr>
          <w:rFonts w:eastAsia="方正仿宋_GBK" w:hint="eastAsia"/>
          <w:sz w:val="28"/>
          <w:szCs w:val="28"/>
        </w:rPr>
        <w:t>报价</w:t>
      </w:r>
      <w:r>
        <w:rPr>
          <w:rFonts w:eastAsia="方正仿宋_GBK"/>
          <w:sz w:val="28"/>
          <w:szCs w:val="28"/>
        </w:rPr>
        <w:t>人法人单位公章以示密封。</w:t>
      </w:r>
    </w:p>
    <w:p>
      <w:pPr>
        <w:spacing w:line="480" w:lineRule="exact"/>
        <w:ind w:firstLineChars="200" w:firstLine="560"/>
        <w:rPr>
          <w:rFonts w:eastAsia="方正黑体_GBK"/>
          <w:sz w:val="28"/>
          <w:szCs w:val="28"/>
        </w:rPr>
      </w:pPr>
      <w:r>
        <w:rPr>
          <w:rFonts w:eastAsia="方正黑体_GBK"/>
          <w:sz w:val="28"/>
          <w:szCs w:val="28"/>
        </w:rPr>
        <w:t>二、资</w:t>
      </w:r>
      <w:r>
        <w:rPr>
          <w:rFonts w:eastAsia="方正黑体_GBK" w:hint="eastAsia"/>
          <w:sz w:val="28"/>
          <w:szCs w:val="28"/>
        </w:rPr>
        <w:t>格审查</w:t>
      </w:r>
    </w:p>
    <w:p>
      <w:pPr>
        <w:spacing w:line="480" w:lineRule="exact"/>
        <w:ind w:firstLineChars="200" w:firstLine="560"/>
        <w:rPr>
          <w:rFonts w:eastAsia="方正仿宋_GBK"/>
          <w:sz w:val="28"/>
          <w:szCs w:val="28"/>
        </w:rPr>
      </w:pPr>
      <w:r>
        <w:rPr>
          <w:rFonts w:eastAsia="方正仿宋_GBK" w:hint="eastAsia"/>
          <w:sz w:val="28"/>
          <w:szCs w:val="28"/>
        </w:rPr>
        <w:t>具备《采购公告》中企业资质</w:t>
      </w:r>
      <w:r>
        <w:rPr>
          <w:rFonts w:eastAsia="方正仿宋_GBK"/>
          <w:sz w:val="28"/>
          <w:szCs w:val="28"/>
        </w:rPr>
        <w:t>。</w:t>
      </w:r>
    </w:p>
    <w:p>
      <w:pPr>
        <w:spacing w:line="480" w:lineRule="exact"/>
        <w:ind w:left="0" w:firstLineChars="200" w:firstLine="560"/>
        <w:rPr>
          <w:rFonts w:eastAsia="方正黑体_GBK"/>
          <w:color w:val="000000"/>
          <w:sz w:val="28"/>
          <w:szCs w:val="28"/>
        </w:rPr>
      </w:pPr>
      <w:r>
        <w:rPr>
          <w:rFonts w:eastAsia="方正黑体_GBK" w:hint="eastAsia"/>
          <w:color w:val="000000"/>
          <w:sz w:val="28"/>
          <w:szCs w:val="28"/>
        </w:rPr>
        <w:t>三、</w:t>
      </w:r>
      <w:r>
        <w:rPr>
          <w:rFonts w:eastAsia="方正黑体_GBK"/>
          <w:color w:val="000000"/>
          <w:sz w:val="28"/>
          <w:szCs w:val="28"/>
        </w:rPr>
        <w:t>符合性审查</w:t>
      </w:r>
    </w:p>
    <w:p>
      <w:pPr>
        <w:spacing w:line="480" w:lineRule="exact"/>
        <w:ind w:leftChars="305" w:left="1200" w:hangingChars="200" w:hanging="560"/>
        <w:rPr>
          <w:rFonts w:ascii="方正楷体_GBK" w:eastAsia="方正楷体_GBK" w:hint="eastAsia"/>
          <w:b/>
          <w:sz w:val="28"/>
          <w:szCs w:val="28"/>
        </w:rPr>
      </w:pPr>
      <w:r>
        <w:rPr>
          <w:rFonts w:ascii="方正楷体_GBK" w:eastAsia="方正楷体_GBK" w:hint="eastAsia"/>
          <w:b/>
          <w:sz w:val="28"/>
          <w:szCs w:val="28"/>
        </w:rPr>
        <w:t>（一）报价文件组成：</w:t>
      </w:r>
    </w:p>
    <w:p>
      <w:pPr>
        <w:spacing w:line="480" w:lineRule="exact"/>
        <w:ind w:leftChars="-1" w:left="-2" w:firstLineChars="221" w:firstLine="619"/>
        <w:rPr>
          <w:rFonts w:eastAsia="方正仿宋_GBK"/>
          <w:color w:val="000000"/>
          <w:sz w:val="28"/>
          <w:szCs w:val="28"/>
        </w:rPr>
      </w:pPr>
      <w:r>
        <w:rPr>
          <w:rFonts w:eastAsia="方正仿宋_GBK"/>
          <w:color w:val="000000"/>
          <w:sz w:val="28"/>
          <w:szCs w:val="28"/>
        </w:rPr>
        <w:t>1.报价函（附件1，必须提供）；</w:t>
      </w:r>
    </w:p>
    <w:p>
      <w:pPr>
        <w:spacing w:line="480" w:lineRule="exact"/>
        <w:ind w:leftChars="-1" w:left="-2" w:firstLineChars="221" w:firstLine="619"/>
        <w:rPr>
          <w:rFonts w:eastAsia="方正仿宋_GBK"/>
          <w:color w:val="000000"/>
          <w:sz w:val="28"/>
          <w:szCs w:val="28"/>
        </w:rPr>
      </w:pPr>
      <w:r>
        <w:rPr>
          <w:rFonts w:eastAsia="方正仿宋_GBK"/>
          <w:color w:val="000000"/>
          <w:sz w:val="28"/>
          <w:szCs w:val="28"/>
        </w:rPr>
        <w:t>2.</w:t>
      </w:r>
      <w:r>
        <w:rPr>
          <w:rFonts w:eastAsia="方正仿宋_GBK"/>
          <w:sz w:val="28"/>
          <w:szCs w:val="28"/>
        </w:rPr>
        <w:t>报价明细表（附件2，必须提供）；</w:t>
      </w:r>
      <w:r>
        <w:rPr>
          <w:rFonts w:eastAsia="方正仿宋_GBK"/>
          <w:color w:val="000000"/>
          <w:sz w:val="28"/>
          <w:szCs w:val="28"/>
        </w:rPr>
        <w:t xml:space="preserve"> </w:t>
      </w:r>
    </w:p>
    <w:p>
      <w:pPr>
        <w:spacing w:line="480" w:lineRule="exact"/>
        <w:ind w:leftChars="-1" w:left="-2" w:firstLineChars="221" w:firstLine="619"/>
        <w:rPr>
          <w:rFonts w:eastAsia="方正仿宋_GBK"/>
          <w:color w:val="000000"/>
          <w:sz w:val="28"/>
          <w:szCs w:val="28"/>
        </w:rPr>
      </w:pPr>
      <w:r>
        <w:rPr>
          <w:rFonts w:eastAsia="方正仿宋_GBK"/>
          <w:color w:val="000000"/>
          <w:sz w:val="28"/>
          <w:szCs w:val="28"/>
        </w:rPr>
        <w:t>3.声明（附件3，必须提供）；</w:t>
      </w:r>
    </w:p>
    <w:p>
      <w:pPr>
        <w:spacing w:line="480" w:lineRule="exact"/>
        <w:ind w:leftChars="-1" w:left="-2" w:firstLineChars="221" w:firstLine="619"/>
        <w:rPr>
          <w:rFonts w:eastAsia="方正仿宋_GBK"/>
          <w:color w:val="000000"/>
          <w:sz w:val="28"/>
          <w:szCs w:val="28"/>
        </w:rPr>
      </w:pPr>
      <w:r>
        <w:rPr>
          <w:rFonts w:eastAsia="方正仿宋_GBK"/>
          <w:color w:val="000000"/>
          <w:sz w:val="28"/>
          <w:szCs w:val="28"/>
        </w:rPr>
        <w:t>4.有效的</w:t>
      </w:r>
      <w:r>
        <w:rPr>
          <w:rFonts w:eastAsia="方正仿宋_GBK" w:hint="eastAsia"/>
          <w:color w:val="000000"/>
          <w:sz w:val="28"/>
          <w:szCs w:val="28"/>
        </w:rPr>
        <w:t>“</w:t>
      </w:r>
      <w:r>
        <w:rPr>
          <w:rFonts w:eastAsia="方正仿宋_GBK"/>
          <w:color w:val="000000"/>
          <w:sz w:val="28"/>
          <w:szCs w:val="28"/>
        </w:rPr>
        <w:t>营业执照</w:t>
      </w:r>
      <w:r>
        <w:rPr>
          <w:rFonts w:eastAsia="方正仿宋_GBK" w:hint="eastAsia"/>
          <w:color w:val="000000"/>
          <w:sz w:val="28"/>
          <w:szCs w:val="28"/>
        </w:rPr>
        <w:t>”或“事业单位法人证书”</w:t>
      </w:r>
      <w:r>
        <w:rPr>
          <w:rFonts w:eastAsia="方正仿宋_GBK"/>
          <w:color w:val="000000"/>
          <w:sz w:val="28"/>
          <w:szCs w:val="28"/>
        </w:rPr>
        <w:t>副本复印件（必须提供）；</w:t>
      </w:r>
    </w:p>
    <w:p>
      <w:pPr>
        <w:spacing w:line="480" w:lineRule="exact"/>
        <w:ind w:leftChars="-1" w:left="-2" w:firstLineChars="221" w:firstLine="619"/>
        <w:rPr>
          <w:rFonts w:eastAsia="方正仿宋_GBK"/>
          <w:color w:val="000000"/>
          <w:sz w:val="28"/>
          <w:szCs w:val="28"/>
        </w:rPr>
      </w:pPr>
      <w:r>
        <w:rPr>
          <w:rFonts w:eastAsia="方正仿宋_GBK"/>
          <w:color w:val="000000"/>
          <w:sz w:val="28"/>
          <w:szCs w:val="28"/>
        </w:rPr>
        <w:t>5.供应商的法定代表人身份证正反面复印件（必须提供）；</w:t>
      </w:r>
    </w:p>
    <w:p>
      <w:pPr>
        <w:spacing w:line="480" w:lineRule="exact"/>
        <w:ind w:leftChars="-1" w:left="-2" w:firstLineChars="221" w:firstLine="619"/>
        <w:rPr>
          <w:rFonts w:eastAsia="方正仿宋_GBK"/>
          <w:color w:val="000000"/>
          <w:sz w:val="28"/>
          <w:szCs w:val="28"/>
        </w:rPr>
      </w:pPr>
      <w:r>
        <w:rPr>
          <w:rFonts w:eastAsia="方正仿宋_GBK"/>
          <w:color w:val="000000"/>
          <w:sz w:val="28"/>
          <w:szCs w:val="28"/>
        </w:rPr>
        <w:t>6.供应商的法人授权委托书、委托代理人身份证正反面复印件（委托代理时必须提供，同时要加盖单位公章，否则被认定为资格审查不合格而报价无效）；</w:t>
      </w:r>
    </w:p>
    <w:p>
      <w:pPr>
        <w:spacing w:line="480" w:lineRule="exact"/>
        <w:ind w:leftChars="-1" w:left="-2" w:firstLineChars="221" w:firstLine="619"/>
        <w:rPr>
          <w:rFonts w:eastAsia="方正仿宋_GBK"/>
          <w:color w:val="000000"/>
          <w:sz w:val="28"/>
          <w:szCs w:val="28"/>
        </w:rPr>
      </w:pPr>
      <w:r>
        <w:rPr>
          <w:rFonts w:eastAsia="方正仿宋_GBK"/>
          <w:color w:val="000000"/>
          <w:sz w:val="28"/>
          <w:szCs w:val="28"/>
        </w:rPr>
        <w:t>7.</w:t>
      </w:r>
      <w:r>
        <w:rPr>
          <w:rFonts w:ascii="方正仿宋_GBK" w:eastAsia="方正仿宋_GBK" w:cs="方正仿宋_GBK" w:hint="eastAsia"/>
          <w:color w:val="000000"/>
          <w:sz w:val="28"/>
          <w:szCs w:val="28"/>
          <w:lang w:bidi="ar-SA"/>
        </w:rPr>
        <w:t>“信用中国”</w:t>
      </w:r>
      <w:r>
        <w:rPr>
          <w:rFonts w:eastAsia="方正仿宋_GBK"/>
          <w:color w:val="000000"/>
          <w:sz w:val="28"/>
          <w:szCs w:val="28"/>
        </w:rPr>
        <w:t>（www.creditchina.gov.cn）信用报告</w:t>
      </w:r>
      <w:r>
        <w:rPr>
          <w:rFonts w:eastAsia="方正仿宋_GBK" w:hint="eastAsia"/>
          <w:color w:val="000000"/>
          <w:sz w:val="28"/>
          <w:szCs w:val="28"/>
        </w:rPr>
        <w:t>及</w:t>
      </w:r>
      <w:r>
        <w:rPr>
          <w:rFonts w:eastAsia="方正仿宋_GBK"/>
          <w:color w:val="000000"/>
          <w:sz w:val="28"/>
          <w:szCs w:val="28"/>
        </w:rPr>
        <w:t>中国政府采购网（www.ccgp.gov.cn）政府采购严重违法失信行为信息记录截图</w:t>
      </w:r>
      <w:r>
        <w:rPr>
          <w:rFonts w:ascii="方正仿宋_GBK" w:eastAsia="方正仿宋_GBK" w:hint="eastAsia"/>
          <w:color w:val="000000"/>
          <w:sz w:val="28"/>
          <w:szCs w:val="28"/>
        </w:rPr>
        <w:t>（必须提供）</w:t>
      </w:r>
      <w:r>
        <w:rPr>
          <w:rFonts w:eastAsia="方正仿宋_GBK"/>
          <w:color w:val="000000"/>
          <w:sz w:val="28"/>
          <w:szCs w:val="28"/>
        </w:rPr>
        <w:t>；</w:t>
      </w:r>
    </w:p>
    <w:p>
      <w:pPr>
        <w:spacing w:line="480" w:lineRule="exact"/>
        <w:ind w:leftChars="-1" w:left="-2" w:firstLineChars="221" w:firstLine="619"/>
        <w:rPr>
          <w:rFonts w:ascii="方正仿宋_GBK" w:eastAsia="方正仿宋_GBK" w:cs="方正仿宋_GBK" w:hint="eastAsia"/>
          <w:color w:val="000000"/>
          <w:sz w:val="28"/>
          <w:szCs w:val="28"/>
          <w:lang w:bidi="ar-SA"/>
        </w:rPr>
      </w:pPr>
      <w:r>
        <w:rPr>
          <w:rFonts w:eastAsia="方正仿宋_GBK"/>
          <w:color w:val="000000"/>
          <w:sz w:val="28"/>
          <w:szCs w:val="28"/>
        </w:rPr>
        <w:t>8.供应商基本情况介</w:t>
      </w:r>
      <w:r>
        <w:rPr>
          <w:rFonts w:ascii="方正仿宋_GBK" w:eastAsia="方正仿宋_GBK" w:cs="方正仿宋_GBK" w:hint="eastAsia"/>
          <w:color w:val="000000"/>
          <w:sz w:val="28"/>
          <w:szCs w:val="28"/>
          <w:lang w:bidi="ar-SA"/>
        </w:rPr>
        <w:t>绍</w:t>
      </w:r>
      <w:r>
        <w:rPr>
          <w:rFonts w:ascii="方正仿宋_GBK" w:eastAsia="方正仿宋_GBK" w:cs="方正仿宋_GBK" w:hint="eastAsia"/>
          <w:color w:val="000000"/>
          <w:sz w:val="28"/>
          <w:szCs w:val="28"/>
          <w:lang w:eastAsia="zh-CN" w:bidi="ar-SA"/>
        </w:rPr>
        <w:t>（</w:t>
      </w:r>
      <w:r>
        <w:rPr>
          <w:rFonts w:ascii="方正仿宋_GBK" w:eastAsia="方正仿宋_GBK" w:cs="方正仿宋_GBK" w:hint="eastAsia"/>
          <w:color w:val="000000"/>
          <w:sz w:val="28"/>
          <w:szCs w:val="28"/>
          <w:lang w:bidi="ar-SA"/>
        </w:rPr>
        <w:t>包括但不限于主要维修设备及技术人员等，格式自拟</w:t>
      </w:r>
      <w:r>
        <w:rPr>
          <w:rFonts w:ascii="方正仿宋_GBK" w:eastAsia="方正仿宋_GBK" w:cs="方正仿宋_GBK" w:hint="eastAsia"/>
          <w:color w:val="000000"/>
          <w:sz w:val="28"/>
          <w:szCs w:val="28"/>
          <w:lang w:eastAsia="zh-CN" w:bidi="ar-SA"/>
        </w:rPr>
        <w:t>）</w:t>
      </w:r>
      <w:r>
        <w:rPr>
          <w:rFonts w:ascii="方正仿宋_GBK" w:eastAsia="方正仿宋_GBK" w:hint="eastAsia"/>
          <w:color w:val="000000"/>
          <w:sz w:val="28"/>
          <w:szCs w:val="28"/>
        </w:rPr>
        <w:t>（必须提供）</w:t>
      </w:r>
      <w:r>
        <w:rPr>
          <w:rFonts w:ascii="方正仿宋_GBK" w:eastAsia="方正仿宋_GBK" w:cs="方正仿宋_GBK" w:hint="eastAsia"/>
          <w:color w:val="000000"/>
          <w:sz w:val="28"/>
          <w:szCs w:val="28"/>
          <w:lang w:bidi="ar-SA"/>
        </w:rPr>
        <w:t>；</w:t>
      </w:r>
    </w:p>
    <w:p>
      <w:pPr>
        <w:spacing w:line="480" w:lineRule="exact"/>
        <w:ind w:leftChars="-1" w:left="-2" w:firstLineChars="221" w:firstLine="619"/>
        <w:rPr>
          <w:rFonts w:ascii="Times New Roman" w:eastAsia="方正仿宋_GBK" w:cs="Times New Roman" w:hAnsi="Times New Roman"/>
          <w:color w:val="000000"/>
          <w:sz w:val="28"/>
          <w:szCs w:val="28"/>
          <w:lang w:bidi="ar-SA"/>
        </w:rPr>
      </w:pPr>
      <w:r>
        <w:rPr>
          <w:rFonts w:eastAsia="方正仿宋_GBK" w:cs="Times New Roman" w:hint="eastAsia"/>
          <w:color w:val="000000"/>
          <w:sz w:val="28"/>
          <w:szCs w:val="28"/>
          <w:lang w:val="en-US" w:eastAsia="zh-CN" w:bidi="ar-SA"/>
        </w:rPr>
        <w:t>9</w:t>
      </w:r>
      <w:r>
        <w:rPr>
          <w:rFonts w:ascii="Times New Roman" w:eastAsia="方正仿宋_GBK" w:cs="Times New Roman" w:hAnsi="Times New Roman"/>
          <w:color w:val="000000"/>
          <w:sz w:val="28"/>
          <w:szCs w:val="28"/>
          <w:lang w:val="en-US" w:eastAsia="zh-CN" w:bidi="ar-SA"/>
        </w:rPr>
        <w:t>.</w:t>
      </w:r>
      <w:r>
        <w:rPr>
          <w:rFonts w:ascii="Times New Roman" w:eastAsia="方正仿宋_GBK" w:cs="Times New Roman" w:hAnsi="Times New Roman"/>
          <w:color w:val="000000"/>
          <w:sz w:val="28"/>
          <w:szCs w:val="28"/>
          <w:lang w:bidi="ar-SA"/>
        </w:rPr>
        <w:t>服务质量保证承诺</w:t>
      </w:r>
      <w:r>
        <w:rPr>
          <w:rFonts w:ascii="方正仿宋_GBK" w:eastAsia="方正仿宋_GBK" w:hint="eastAsia"/>
          <w:color w:val="000000"/>
          <w:sz w:val="28"/>
          <w:szCs w:val="28"/>
        </w:rPr>
        <w:t>（必须提供）</w:t>
      </w:r>
      <w:r>
        <w:rPr>
          <w:rFonts w:ascii="Times New Roman" w:eastAsia="方正仿宋_GBK" w:cs="Times New Roman" w:hAnsi="Times New Roman"/>
          <w:color w:val="000000"/>
          <w:sz w:val="28"/>
          <w:szCs w:val="28"/>
          <w:lang w:bidi="ar-SA"/>
        </w:rPr>
        <w:t>；</w:t>
      </w:r>
    </w:p>
    <w:p>
      <w:pPr>
        <w:spacing w:line="480" w:lineRule="exact"/>
        <w:ind w:leftChars="-1" w:left="-2" w:firstLineChars="221" w:firstLine="619"/>
        <w:rPr>
          <w:rFonts w:eastAsia="方正仿宋_GBK"/>
          <w:color w:val="000000"/>
          <w:sz w:val="28"/>
          <w:szCs w:val="28"/>
        </w:rPr>
      </w:pPr>
      <w:r>
        <w:rPr>
          <w:rFonts w:eastAsia="方正仿宋_GBK" w:hint="eastAsia"/>
          <w:color w:val="000000"/>
          <w:sz w:val="28"/>
          <w:szCs w:val="28"/>
          <w:lang w:val="en-US" w:eastAsia="zh-CN"/>
        </w:rPr>
        <w:t>10</w:t>
      </w:r>
      <w:r>
        <w:rPr>
          <w:rFonts w:eastAsia="方正仿宋_GBK"/>
          <w:color w:val="000000"/>
          <w:sz w:val="28"/>
          <w:szCs w:val="28"/>
        </w:rPr>
        <w:t>.近三年同类工作相关业</w:t>
      </w:r>
      <w:r>
        <w:rPr>
          <w:rFonts w:ascii="方正仿宋_GBK" w:eastAsia="方正仿宋_GBK" w:hint="eastAsia"/>
          <w:color w:val="000000"/>
          <w:sz w:val="28"/>
          <w:szCs w:val="28"/>
        </w:rPr>
        <w:t>绩</w:t>
      </w:r>
      <w:r>
        <w:rPr>
          <w:rFonts w:ascii="方正仿宋_GBK" w:eastAsia="方正仿宋_GBK" w:hint="eastAsia"/>
          <w:color w:val="000000"/>
          <w:sz w:val="28"/>
          <w:szCs w:val="28"/>
          <w:lang w:eastAsia="zh-CN"/>
        </w:rPr>
        <w:t>（如有则需提供）</w:t>
      </w:r>
      <w:r>
        <w:rPr>
          <w:rFonts w:ascii="方正仿宋_GBK" w:eastAsia="方正仿宋_GBK" w:hint="eastAsia"/>
          <w:color w:val="000000"/>
          <w:sz w:val="28"/>
          <w:szCs w:val="28"/>
        </w:rPr>
        <w:t>；</w:t>
      </w:r>
    </w:p>
    <w:p>
      <w:pPr>
        <w:spacing w:line="480" w:lineRule="exact"/>
        <w:ind w:leftChars="-1" w:left="-2" w:firstLineChars="200" w:firstLine="560"/>
        <w:rPr>
          <w:rFonts w:ascii="方正仿宋_GBK" w:eastAsia="方正仿宋_GBK" w:hint="eastAsia"/>
          <w:sz w:val="28"/>
          <w:szCs w:val="28"/>
        </w:rPr>
      </w:pPr>
      <w:r>
        <w:rPr>
          <w:rFonts w:eastAsia="方正仿宋_GBK" w:hint="eastAsia"/>
          <w:sz w:val="28"/>
          <w:szCs w:val="28"/>
        </w:rPr>
        <w:t>12.</w:t>
      </w:r>
      <w:r>
        <w:rPr>
          <w:rFonts w:eastAsia="方正仿宋_GBK"/>
          <w:sz w:val="28"/>
          <w:szCs w:val="28"/>
        </w:rPr>
        <w:t>其他证</w:t>
      </w:r>
      <w:r>
        <w:rPr>
          <w:rFonts w:ascii="方正仿宋_GBK" w:eastAsia="方正仿宋_GBK" w:hint="eastAsia"/>
          <w:sz w:val="28"/>
          <w:szCs w:val="28"/>
        </w:rPr>
        <w:t>明文件的复印件（如有请提供）。</w:t>
      </w:r>
    </w:p>
    <w:p>
      <w:pPr>
        <w:spacing w:line="480" w:lineRule="exact"/>
        <w:ind w:firstLineChars="200" w:firstLine="560"/>
        <w:rPr>
          <w:rFonts w:ascii="方正楷体_GBK" w:eastAsia="方正楷体_GBK" w:cs="方正楷体_GBK" w:hint="eastAsia"/>
          <w:b/>
          <w:sz w:val="28"/>
          <w:szCs w:val="28"/>
          <w:lang w:bidi="ar-SA"/>
        </w:rPr>
      </w:pPr>
      <w:r>
        <w:rPr>
          <w:rFonts w:ascii="方正楷体_GBK" w:eastAsia="方正楷体_GBK" w:cs="方正楷体_GBK" w:hint="eastAsia"/>
          <w:b/>
          <w:sz w:val="28"/>
          <w:szCs w:val="28"/>
          <w:lang w:bidi="ar-SA"/>
        </w:rPr>
        <w:t>（二）属于下列情形的，不得参加下一步详评：</w:t>
      </w:r>
    </w:p>
    <w:p>
      <w:pPr>
        <w:spacing w:line="480" w:lineRule="exact"/>
        <w:ind w:leftChars="-1" w:left="-2" w:firstLineChars="200" w:firstLine="560"/>
        <w:rPr>
          <w:rFonts w:eastAsia="方正仿宋_GBK"/>
          <w:sz w:val="28"/>
          <w:szCs w:val="28"/>
        </w:rPr>
      </w:pPr>
      <w:r>
        <w:rPr>
          <w:rFonts w:eastAsia="方正仿宋_GBK"/>
          <w:sz w:val="28"/>
          <w:szCs w:val="28"/>
        </w:rPr>
        <w:t>1.不</w:t>
      </w:r>
      <w:r>
        <w:rPr>
          <w:rFonts w:eastAsia="方正仿宋_GBK" w:hint="eastAsia"/>
          <w:sz w:val="28"/>
          <w:szCs w:val="28"/>
        </w:rPr>
        <w:t>满足</w:t>
      </w:r>
      <w:r>
        <w:rPr>
          <w:rFonts w:eastAsia="方正仿宋_GBK"/>
          <w:sz w:val="28"/>
          <w:szCs w:val="28"/>
        </w:rPr>
        <w:t>上述报价文件要求（标注必须提供的材料未提交的、提供资料不符合要求的）</w:t>
      </w:r>
      <w:r>
        <w:rPr>
          <w:rFonts w:eastAsia="方正仿宋_GBK" w:hint="eastAsia"/>
          <w:sz w:val="28"/>
          <w:szCs w:val="28"/>
        </w:rPr>
        <w:t>；</w:t>
      </w:r>
    </w:p>
    <w:p>
      <w:pPr>
        <w:spacing w:line="480" w:lineRule="exact"/>
        <w:ind w:leftChars="-1" w:left="-2" w:firstLineChars="200" w:firstLine="560"/>
        <w:rPr>
          <w:rFonts w:eastAsia="方正仿宋_GBK"/>
          <w:sz w:val="28"/>
          <w:szCs w:val="28"/>
        </w:rPr>
      </w:pPr>
      <w:r>
        <w:rPr>
          <w:rFonts w:eastAsia="方正仿宋_GBK"/>
          <w:sz w:val="28"/>
          <w:szCs w:val="28"/>
        </w:rPr>
        <w:t>2.</w:t>
      </w:r>
      <w:r>
        <w:rPr>
          <w:rFonts w:eastAsia="方正仿宋_GBK" w:hint="eastAsia"/>
          <w:sz w:val="28"/>
          <w:szCs w:val="28"/>
        </w:rPr>
        <w:t>报价</w:t>
      </w:r>
      <w:r>
        <w:rPr>
          <w:rFonts w:eastAsia="方正仿宋_GBK"/>
          <w:sz w:val="28"/>
          <w:szCs w:val="28"/>
        </w:rPr>
        <w:t>超过</w:t>
      </w:r>
      <w:r>
        <w:rPr>
          <w:rFonts w:eastAsia="方正仿宋_GBK" w:hint="eastAsia"/>
          <w:sz w:val="28"/>
          <w:szCs w:val="28"/>
        </w:rPr>
        <w:t>预算金额或</w:t>
      </w:r>
      <w:r>
        <w:rPr>
          <w:rFonts w:eastAsia="方正仿宋_GBK"/>
          <w:sz w:val="28"/>
          <w:szCs w:val="28"/>
        </w:rPr>
        <w:t>严重不平衡、不合理、低于其企业成本</w:t>
      </w:r>
      <w:r>
        <w:rPr>
          <w:rFonts w:eastAsia="方正仿宋_GBK" w:hint="eastAsia"/>
          <w:sz w:val="28"/>
          <w:szCs w:val="28"/>
        </w:rPr>
        <w:t>的；</w:t>
      </w:r>
    </w:p>
    <w:p>
      <w:pPr>
        <w:spacing w:line="480" w:lineRule="exact"/>
        <w:ind w:leftChars="-1" w:left="-2" w:firstLineChars="200" w:firstLine="560"/>
        <w:rPr>
          <w:rFonts w:ascii="方正仿宋_GBK" w:eastAsia="方正仿宋_GBK" w:hint="eastAsia"/>
          <w:sz w:val="28"/>
          <w:szCs w:val="28"/>
        </w:rPr>
      </w:pPr>
      <w:r>
        <w:rPr>
          <w:rFonts w:eastAsia="方正仿宋_GBK"/>
          <w:sz w:val="28"/>
          <w:szCs w:val="28"/>
        </w:rPr>
        <w:t>3.</w:t>
      </w:r>
      <w:r>
        <w:rPr>
          <w:rFonts w:ascii="方正仿宋_GBK" w:eastAsia="方正仿宋_GBK" w:hint="eastAsia"/>
          <w:sz w:val="28"/>
          <w:szCs w:val="28"/>
        </w:rPr>
        <w:t>《采购公告》中列明无效报价的情形；</w:t>
      </w:r>
    </w:p>
    <w:p>
      <w:pPr>
        <w:spacing w:line="480" w:lineRule="exact"/>
        <w:ind w:firstLineChars="200" w:firstLine="560"/>
        <w:rPr>
          <w:rFonts w:ascii="方正楷体_GBK" w:eastAsia="方正楷体_GBK" w:cs="方正楷体_GBK" w:hint="eastAsia"/>
          <w:b/>
          <w:sz w:val="28"/>
          <w:szCs w:val="28"/>
          <w:lang w:bidi="ar-SA"/>
        </w:rPr>
      </w:pPr>
      <w:r>
        <w:rPr>
          <w:rFonts w:ascii="方正楷体_GBK" w:eastAsia="方正楷体_GBK" w:cs="方正楷体_GBK" w:hint="eastAsia"/>
          <w:b/>
          <w:sz w:val="28"/>
          <w:szCs w:val="28"/>
          <w:lang w:bidi="ar-SA"/>
        </w:rPr>
        <w:t>（三）报价函与报价明细表的报价不一致时，以报价函价格为准，报价大、小写不一致时，以大写价格为准。</w:t>
      </w:r>
    </w:p>
    <w:p>
      <w:pPr>
        <w:spacing w:line="480" w:lineRule="exact"/>
        <w:ind w:firstLineChars="200" w:firstLine="560"/>
        <w:rPr>
          <w:rFonts w:ascii="方正黑体_GBK" w:eastAsia="方正黑体_GBK" w:hint="eastAsia"/>
          <w:sz w:val="28"/>
          <w:szCs w:val="28"/>
        </w:rPr>
      </w:pPr>
      <w:r>
        <w:rPr>
          <w:rFonts w:ascii="方正黑体_GBK" w:eastAsia="方正黑体_GBK" w:hint="eastAsia"/>
          <w:sz w:val="28"/>
          <w:szCs w:val="28"/>
        </w:rPr>
        <w:t>四、评审方法及评分标准</w:t>
      </w:r>
    </w:p>
    <w:p>
      <w:pPr>
        <w:spacing w:line="480" w:lineRule="exact"/>
        <w:ind w:firstLineChars="200" w:firstLine="560"/>
        <w:rPr>
          <w:rFonts w:eastAsia="方正仿宋_GBK" w:hint="eastAsia"/>
          <w:sz w:val="28"/>
          <w:szCs w:val="28"/>
        </w:rPr>
      </w:pPr>
      <w:r>
        <w:rPr>
          <w:rFonts w:eastAsia="方正仿宋_GBK" w:hint="eastAsia"/>
          <w:sz w:val="28"/>
          <w:szCs w:val="28"/>
        </w:rPr>
        <w:t>通过符合性审查的供应商</w:t>
      </w:r>
      <w:r>
        <w:rPr>
          <w:rFonts w:eastAsia="方正仿宋_GBK"/>
          <w:sz w:val="28"/>
          <w:szCs w:val="28"/>
        </w:rPr>
        <w:t>不足</w:t>
      </w:r>
      <w:r>
        <w:rPr>
          <w:rFonts w:eastAsia="方正仿宋_GBK" w:hint="eastAsia"/>
          <w:sz w:val="28"/>
          <w:szCs w:val="28"/>
        </w:rPr>
        <w:t>3</w:t>
      </w:r>
      <w:r>
        <w:rPr>
          <w:rFonts w:eastAsia="方正仿宋_GBK"/>
          <w:sz w:val="28"/>
          <w:szCs w:val="28"/>
        </w:rPr>
        <w:t>家</w:t>
      </w:r>
      <w:r>
        <w:rPr>
          <w:rFonts w:eastAsia="方正仿宋_GBK" w:hint="eastAsia"/>
          <w:sz w:val="28"/>
          <w:szCs w:val="28"/>
        </w:rPr>
        <w:t>时，可继续评审。</w:t>
      </w:r>
    </w:p>
    <w:p>
      <w:pPr>
        <w:spacing w:line="480" w:lineRule="exact"/>
        <w:ind w:firstLineChars="200" w:firstLine="560"/>
        <w:rPr>
          <w:rFonts w:eastAsia="方正仿宋_GBK"/>
          <w:sz w:val="28"/>
          <w:szCs w:val="28"/>
        </w:rPr>
      </w:pPr>
      <w:r>
        <w:rPr>
          <w:rFonts w:eastAsia="方正仿宋_GBK" w:hint="eastAsia"/>
          <w:sz w:val="28"/>
          <w:szCs w:val="28"/>
        </w:rPr>
        <w:t>若评审小组认为供应商有必要对报价文件进行补充或澄清的，可以要求供应商对报价文件中含义不明确、同类问题表述不一致或者有明显文字和计算错误的内容等作出必要的澄清、说明或者更正。供应商的澄清、说明或者更正不得超出报价文件的范围或者改变报价文件的实质性内容。</w:t>
      </w:r>
    </w:p>
    <w:p>
      <w:pPr>
        <w:spacing w:line="480" w:lineRule="exact"/>
        <w:ind w:firstLineChars="200" w:firstLine="560"/>
        <w:rPr>
          <w:rFonts w:ascii="方正黑体_GBK" w:eastAsia="方正黑体_GBK" w:hint="eastAsia"/>
          <w:strike/>
          <w:dstrike w:val="0"/>
          <w:sz w:val="28"/>
          <w:szCs w:val="28"/>
        </w:rPr>
      </w:pPr>
      <w:r>
        <w:rPr>
          <w:rFonts w:eastAsia="方正仿宋_GBK" w:hint="eastAsia"/>
          <w:sz w:val="28"/>
          <w:szCs w:val="28"/>
        </w:rPr>
        <w:t>属于报价无效情形的，不予澄清。</w:t>
      </w:r>
    </w:p>
    <w:p>
      <w:pPr>
        <w:spacing w:line="480" w:lineRule="exact"/>
        <w:ind w:firstLineChars="200" w:firstLine="560"/>
        <w:rPr>
          <w:rFonts w:ascii="方正楷体_GBK" w:eastAsia="方正楷体_GBK" w:cs="方正楷体_GBK" w:hint="eastAsia"/>
          <w:sz w:val="28"/>
          <w:szCs w:val="28"/>
          <w:lang w:eastAsia="zh-CN" w:bidi="ar-SA"/>
        </w:rPr>
      </w:pPr>
      <w:r>
        <w:rPr>
          <w:rFonts w:ascii="方正楷体_GBK" w:eastAsia="方正楷体_GBK" w:cs="方正楷体_GBK" w:hint="eastAsia"/>
          <w:b/>
          <w:sz w:val="28"/>
          <w:szCs w:val="28"/>
          <w:lang w:bidi="ar-SA"/>
        </w:rPr>
        <w:t>（一）评审方法</w:t>
      </w:r>
      <w:r>
        <w:rPr>
          <w:rFonts w:ascii="方正楷体_GBK" w:eastAsia="方正楷体_GBK" w:cs="方正楷体_GBK" w:hint="eastAsia"/>
          <w:b/>
          <w:sz w:val="28"/>
          <w:szCs w:val="28"/>
          <w:lang w:eastAsia="zh-CN" w:bidi="ar-SA"/>
        </w:rPr>
        <w:t>：</w:t>
      </w:r>
    </w:p>
    <w:p>
      <w:pPr>
        <w:spacing w:line="480" w:lineRule="exact"/>
        <w:ind w:leftChars="-1" w:left="-2" w:firstLineChars="221" w:firstLine="619"/>
        <w:rPr>
          <w:rFonts w:eastAsia="方正仿宋_GBK"/>
          <w:color w:val="000000"/>
          <w:sz w:val="28"/>
          <w:szCs w:val="28"/>
        </w:rPr>
      </w:pPr>
      <w:r>
        <w:rPr>
          <w:rFonts w:eastAsia="方正仿宋_GBK"/>
          <w:color w:val="000000"/>
          <w:sz w:val="28"/>
          <w:szCs w:val="28"/>
        </w:rPr>
        <w:t>1.对进入详评的，采用综合评分法。</w:t>
      </w:r>
    </w:p>
    <w:p>
      <w:pPr>
        <w:spacing w:line="480" w:lineRule="exact"/>
        <w:ind w:leftChars="-1" w:left="-2" w:firstLineChars="221" w:firstLine="619"/>
        <w:rPr>
          <w:rFonts w:eastAsia="方正仿宋_GBK"/>
          <w:color w:val="000000"/>
          <w:sz w:val="28"/>
          <w:szCs w:val="28"/>
        </w:rPr>
      </w:pPr>
      <w:r>
        <w:rPr>
          <w:rFonts w:eastAsia="方正仿宋_GBK"/>
          <w:color w:val="000000"/>
          <w:sz w:val="28"/>
          <w:szCs w:val="28"/>
        </w:rPr>
        <w:t>2.计分办法（按四舍五入取至小数点后两位）。</w:t>
      </w:r>
    </w:p>
    <w:p>
      <w:pPr>
        <w:snapToGrid w:val="0"/>
        <w:spacing w:line="480" w:lineRule="exact"/>
        <w:ind w:firstLineChars="200" w:firstLine="560"/>
        <w:jc w:val="left"/>
        <w:rPr>
          <w:rFonts w:ascii="方正楷体_GBK" w:eastAsia="方正楷体_GBK" w:cs="方正楷体_GBK" w:hint="eastAsia"/>
          <w:b/>
          <w:sz w:val="28"/>
          <w:szCs w:val="28"/>
          <w:lang w:eastAsia="zh-CN" w:bidi="ar-SA"/>
        </w:rPr>
      </w:pPr>
      <w:r>
        <w:rPr>
          <w:rFonts w:ascii="方正楷体_GBK" w:eastAsia="方正楷体_GBK" w:cs="方正楷体_GBK" w:hint="eastAsia"/>
          <w:b/>
          <w:sz w:val="28"/>
          <w:szCs w:val="28"/>
          <w:lang w:bidi="ar-SA"/>
        </w:rPr>
        <w:t>（二）评分标准</w:t>
      </w:r>
      <w:r>
        <w:rPr>
          <w:rFonts w:ascii="方正楷体_GBK" w:eastAsia="方正楷体_GBK" w:cs="方正楷体_GBK" w:hint="eastAsia"/>
          <w:b/>
          <w:sz w:val="28"/>
          <w:szCs w:val="28"/>
          <w:lang w:eastAsia="zh-CN" w:bidi="ar-SA"/>
        </w:rPr>
        <w:t>：</w:t>
      </w:r>
    </w:p>
    <w:tbl>
      <w:tblPr>
        <w:jc w:val="left"/>
        <w:tblInd w:w="-707" w:type="dxa"/>
        <w:tblW w:w="9747"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698"/>
        <w:gridCol w:w="1085"/>
        <w:gridCol w:w="1017"/>
        <w:gridCol w:w="6947"/>
      </w:tblGrid>
      <w:tr>
        <w:trPr>
          <w:trHeight w:val="90"/>
        </w:trPr>
        <w:tc>
          <w:tcPr>
            <w:tcW w:w="698" w:type="dxa"/>
            <w:tcBorders>
              <w:top w:val="single" w:sz="4" w:space="0" w:color="000000"/>
              <w:left w:val="single" w:sz="4" w:space="0" w:color="000000"/>
              <w:bottom w:val="single" w:sz="4" w:space="0" w:color="000000"/>
              <w:right w:val="single" w:sz="4" w:space="0" w:color="000000"/>
            </w:tcBorders>
            <w:noWrap/>
            <w:vAlign w:val="center"/>
          </w:tcPr>
          <w:p>
            <w:pPr>
              <w:widowControl/>
              <w:spacing w:line="400" w:lineRule="exact"/>
              <w:jc w:val="center"/>
              <w:textAlignment w:val="center"/>
              <w:rPr>
                <w:rFonts w:ascii="微软雅黑" w:eastAsia="微软雅黑" w:cs="宋体" w:hint="eastAsia"/>
                <w:color w:val="000000"/>
                <w:szCs w:val="21"/>
                <w:lang w:bidi="ar-SA"/>
              </w:rPr>
            </w:pPr>
            <w:r>
              <w:rPr>
                <w:rFonts w:ascii="微软雅黑" w:eastAsia="微软雅黑" w:cs="宋体" w:hint="eastAsia"/>
                <w:color w:val="000000"/>
                <w:kern w:val="0"/>
                <w:szCs w:val="21"/>
                <w:lang w:bidi="ar-SA"/>
              </w:rPr>
              <w:t>序号</w:t>
            </w:r>
          </w:p>
        </w:tc>
        <w:tc>
          <w:tcPr>
            <w:tcW w:w="2102" w:type="dxa"/>
            <w:gridSpan w:val="2"/>
            <w:tcBorders>
              <w:top w:val="single" w:sz="4" w:space="0" w:color="000000"/>
              <w:left w:val="single" w:sz="4" w:space="0" w:color="000000"/>
              <w:bottom w:val="single" w:sz="4" w:space="0" w:color="000000"/>
              <w:right w:val="single" w:sz="4" w:space="0" w:color="000000"/>
            </w:tcBorders>
            <w:noWrap/>
            <w:vAlign w:val="center"/>
          </w:tcPr>
          <w:p>
            <w:pPr>
              <w:widowControl/>
              <w:spacing w:line="400" w:lineRule="exact"/>
              <w:jc w:val="center"/>
              <w:textAlignment w:val="center"/>
              <w:rPr>
                <w:rFonts w:ascii="微软雅黑" w:eastAsia="微软雅黑" w:cs="宋体" w:hint="eastAsia"/>
                <w:color w:val="000000"/>
                <w:szCs w:val="21"/>
                <w:lang w:bidi="ar-SA"/>
              </w:rPr>
            </w:pPr>
            <w:r>
              <w:rPr>
                <w:rFonts w:ascii="微软雅黑" w:eastAsia="微软雅黑" w:cs="宋体" w:hint="eastAsia"/>
                <w:color w:val="000000"/>
                <w:kern w:val="0"/>
                <w:szCs w:val="21"/>
                <w:lang w:bidi="ar-SA"/>
              </w:rPr>
              <w:t>评分项</w:t>
            </w:r>
          </w:p>
        </w:tc>
        <w:tc>
          <w:tcPr>
            <w:tcW w:w="6947" w:type="dxa"/>
            <w:tcBorders>
              <w:top w:val="single" w:sz="4" w:space="0" w:color="000000"/>
              <w:left w:val="single" w:sz="4" w:space="0" w:color="000000"/>
              <w:bottom w:val="single" w:sz="4" w:space="0" w:color="000000"/>
              <w:right w:val="single" w:sz="4" w:space="0" w:color="000000"/>
            </w:tcBorders>
            <w:noWrap/>
            <w:vAlign w:val="center"/>
          </w:tcPr>
          <w:p>
            <w:pPr>
              <w:widowControl/>
              <w:spacing w:line="400" w:lineRule="exact"/>
              <w:jc w:val="center"/>
              <w:textAlignment w:val="bottom"/>
              <w:rPr>
                <w:rFonts w:ascii="微软雅黑" w:eastAsia="微软雅黑" w:cs="宋体" w:hint="eastAsia"/>
                <w:color w:val="000000"/>
                <w:szCs w:val="21"/>
                <w:lang w:bidi="ar-SA"/>
              </w:rPr>
            </w:pPr>
            <w:r>
              <w:rPr>
                <w:rFonts w:ascii="微软雅黑" w:eastAsia="微软雅黑" w:cs="宋体" w:hint="eastAsia"/>
                <w:color w:val="000000"/>
                <w:kern w:val="0"/>
                <w:szCs w:val="21"/>
                <w:lang w:bidi="ar-SA"/>
              </w:rPr>
              <w:t>评分标准</w:t>
            </w:r>
          </w:p>
        </w:tc>
      </w:tr>
      <w:tr>
        <w:trPr>
          <w:trHeight w:val="845"/>
        </w:trPr>
        <w:tc>
          <w:tcPr>
            <w:tcW w:w="698" w:type="dxa"/>
            <w:tcBorders>
              <w:top w:val="single" w:sz="4" w:space="0" w:color="000000"/>
              <w:left w:val="single" w:sz="4" w:space="0" w:color="000000"/>
              <w:bottom w:val="single" w:sz="4" w:space="0" w:color="000000"/>
              <w:right w:val="single" w:sz="4" w:space="0" w:color="000000"/>
            </w:tcBorders>
            <w:noWrap/>
            <w:vAlign w:val="center"/>
          </w:tcPr>
          <w:p>
            <w:pPr>
              <w:widowControl/>
              <w:spacing w:line="400" w:lineRule="exact"/>
              <w:jc w:val="center"/>
              <w:textAlignment w:val="center"/>
              <w:rPr>
                <w:rFonts w:ascii="微软雅黑" w:eastAsia="微软雅黑" w:cs="宋体" w:hint="eastAsia"/>
                <w:color w:val="000000"/>
                <w:szCs w:val="21"/>
                <w:lang w:bidi="ar-SA"/>
              </w:rPr>
            </w:pPr>
            <w:r>
              <w:rPr>
                <w:rFonts w:ascii="微软雅黑" w:eastAsia="微软雅黑" w:cs="宋体" w:hint="eastAsia"/>
                <w:color w:val="000000"/>
                <w:kern w:val="0"/>
                <w:szCs w:val="21"/>
                <w:lang w:bidi="ar-SA"/>
              </w:rPr>
              <w:t>1</w:t>
            </w:r>
          </w:p>
        </w:tc>
        <w:tc>
          <w:tcPr>
            <w:tcW w:w="2102" w:type="dxa"/>
            <w:gridSpan w:val="2"/>
            <w:tcBorders>
              <w:top w:val="single" w:sz="4" w:space="0" w:color="000000"/>
              <w:left w:val="single" w:sz="4" w:space="0" w:color="000000"/>
              <w:bottom w:val="single" w:sz="4" w:space="0" w:color="000000"/>
              <w:right w:val="single" w:sz="4" w:space="0" w:color="000000"/>
            </w:tcBorders>
            <w:noWrap/>
            <w:vAlign w:val="center"/>
          </w:tcPr>
          <w:p>
            <w:pPr>
              <w:widowControl/>
              <w:spacing w:line="400" w:lineRule="exact"/>
              <w:jc w:val="center"/>
              <w:textAlignment w:val="center"/>
              <w:rPr>
                <w:rFonts w:ascii="微软雅黑" w:eastAsia="微软雅黑" w:cs="宋体" w:hint="eastAsia"/>
                <w:color w:val="000000"/>
                <w:kern w:val="0"/>
                <w:szCs w:val="21"/>
                <w:lang w:bidi="ar-SA"/>
              </w:rPr>
            </w:pPr>
            <w:r>
              <w:rPr>
                <w:rFonts w:ascii="微软雅黑" w:eastAsia="微软雅黑" w:cs="宋体" w:hint="eastAsia"/>
                <w:color w:val="000000"/>
                <w:kern w:val="0"/>
                <w:szCs w:val="21"/>
                <w:lang w:bidi="ar-SA"/>
              </w:rPr>
              <w:t>价格分</w:t>
            </w:r>
          </w:p>
          <w:p>
            <w:pPr>
              <w:widowControl/>
              <w:spacing w:line="400" w:lineRule="exact"/>
              <w:jc w:val="center"/>
              <w:textAlignment w:val="center"/>
              <w:rPr>
                <w:rFonts w:ascii="微软雅黑" w:eastAsia="微软雅黑" w:cs="宋体" w:hint="eastAsia"/>
                <w:color w:val="000000"/>
                <w:szCs w:val="21"/>
                <w:lang w:bidi="ar-SA"/>
              </w:rPr>
            </w:pPr>
            <w:r>
              <w:rPr>
                <w:rFonts w:ascii="微软雅黑" w:eastAsia="微软雅黑" w:cs="宋体" w:hint="eastAsia"/>
                <w:color w:val="000000"/>
                <w:kern w:val="0"/>
                <w:szCs w:val="21"/>
                <w:lang w:bidi="ar-SA"/>
              </w:rPr>
              <w:t>（30分）</w:t>
            </w:r>
          </w:p>
        </w:tc>
        <w:tc>
          <w:tcPr>
            <w:tcW w:w="6947" w:type="dxa"/>
            <w:tcBorders>
              <w:top w:val="single" w:sz="4" w:space="0" w:color="000000"/>
              <w:left w:val="single" w:sz="4" w:space="0" w:color="000000"/>
              <w:bottom w:val="single" w:sz="4" w:space="0" w:color="000000"/>
              <w:right w:val="single" w:sz="4" w:space="0" w:color="000000"/>
            </w:tcBorders>
            <w:noWrap/>
            <w:vAlign w:val="center"/>
          </w:tcPr>
          <w:p>
            <w:pPr>
              <w:spacing w:line="420" w:lineRule="exact"/>
              <w:ind w:firstLineChars="196" w:firstLine="412"/>
              <w:jc w:val="left"/>
              <w:outlineLvl w:val="0"/>
              <w:rPr>
                <w:rFonts w:ascii="微软雅黑" w:eastAsia="微软雅黑" w:hint="eastAsia"/>
              </w:rPr>
            </w:pPr>
            <w:r>
              <w:rPr>
                <w:rFonts w:ascii="微软雅黑" w:eastAsia="微软雅黑" w:hint="eastAsia"/>
              </w:rPr>
              <w:t>根据</w:t>
            </w:r>
            <w:r>
              <w:rPr>
                <w:rFonts w:ascii="微软雅黑" w:eastAsia="微软雅黑" w:hint="eastAsia"/>
                <w:lang w:eastAsia="zh-CN"/>
              </w:rPr>
              <w:t>报价</w:t>
            </w:r>
            <w:r>
              <w:rPr>
                <w:rFonts w:ascii="微软雅黑" w:eastAsia="微软雅黑" w:hint="eastAsia"/>
              </w:rPr>
              <w:t xml:space="preserve">函中工时及配件材料优惠率。 </w:t>
            </w:r>
          </w:p>
          <w:p>
            <w:pPr>
              <w:pStyle w:val="15"/>
              <w:spacing w:line="400" w:lineRule="exact"/>
              <w:ind w:firstLineChars="150" w:firstLine="315"/>
              <w:rPr>
                <w:rFonts w:ascii="微软雅黑" w:eastAsia="微软雅黑" w:hint="eastAsia"/>
                <w:color w:val="000000"/>
                <w:szCs w:val="21"/>
              </w:rPr>
            </w:pPr>
            <w:r>
              <w:rPr>
                <w:rFonts w:ascii="微软雅黑" w:eastAsia="微软雅黑" w:hint="eastAsia"/>
                <w:color w:val="000000"/>
                <w:szCs w:val="21"/>
              </w:rPr>
              <w:t>价格分计算公式：</w:t>
            </w:r>
          </w:p>
          <w:tbl>
            <w:tblPr>
              <w:jc w:val="center"/>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2452"/>
              <w:gridCol w:w="2759"/>
              <w:gridCol w:w="2759"/>
            </w:tblGrid>
            <w:tr>
              <w:trPr>
                <w:trHeight w:val="567"/>
              </w:trPr>
              <w:tc>
                <w:tcPr>
                  <w:tcW w:w="2452" w:type="dxa"/>
                  <w:vMerge w:val="restart"/>
                  <w:tcBorders>
                    <w:left w:val="nil"/>
                    <w:right w:val="nil"/>
                  </w:tcBorders>
                  <w:noWrap/>
                  <w:vAlign w:val="center"/>
                </w:tcPr>
                <w:p>
                  <w:pPr>
                    <w:pStyle w:val="15"/>
                    <w:spacing w:line="400" w:lineRule="exact"/>
                    <w:jc w:val="right"/>
                    <w:rPr>
                      <w:rFonts w:ascii="微软雅黑" w:eastAsia="微软雅黑" w:hint="eastAsia"/>
                      <w:color w:val="000000"/>
                      <w:szCs w:val="21"/>
                    </w:rPr>
                  </w:pPr>
                  <w:r>
                    <w:rPr>
                      <w:rFonts w:ascii="微软雅黑" w:eastAsia="微软雅黑" w:hint="eastAsia"/>
                      <w:color w:val="000000"/>
                      <w:szCs w:val="21"/>
                    </w:rPr>
                    <w:t>某投标人价格分 ＝</w:t>
                  </w:r>
                </w:p>
              </w:tc>
              <w:tc>
                <w:tcPr>
                  <w:tcW w:w="2759" w:type="dxa"/>
                  <w:tcBorders>
                    <w:top w:val="nil"/>
                    <w:left w:val="nil"/>
                    <w:bottom w:val="single" w:sz="4" w:space="0" w:color="auto"/>
                    <w:right w:val="nil"/>
                  </w:tcBorders>
                  <w:noWrap/>
                </w:tcPr>
                <w:p>
                  <w:pPr>
                    <w:pStyle w:val="15"/>
                    <w:spacing w:line="400" w:lineRule="exact"/>
                    <w:jc w:val="center"/>
                    <w:rPr>
                      <w:rFonts w:ascii="微软雅黑" w:eastAsia="微软雅黑" w:hint="eastAsia"/>
                      <w:color w:val="000000"/>
                      <w:szCs w:val="21"/>
                    </w:rPr>
                  </w:pPr>
                  <w:r>
                    <w:rPr>
                      <w:rFonts w:ascii="微软雅黑" w:eastAsia="微软雅黑" w:hint="eastAsia"/>
                      <w:color w:val="000000"/>
                      <w:szCs w:val="21"/>
                    </w:rPr>
                    <w:t>某投标人最高优惠率</w:t>
                  </w:r>
                </w:p>
              </w:tc>
              <w:tc>
                <w:tcPr>
                  <w:tcW w:w="2759" w:type="dxa"/>
                  <w:vMerge w:val="restart"/>
                  <w:tcBorders>
                    <w:left w:val="nil"/>
                    <w:right w:val="nil"/>
                  </w:tcBorders>
                  <w:noWrap/>
                  <w:vAlign w:val="center"/>
                </w:tcPr>
                <w:p>
                  <w:pPr>
                    <w:pStyle w:val="15"/>
                    <w:spacing w:line="400" w:lineRule="exact"/>
                    <w:rPr>
                      <w:rFonts w:ascii="微软雅黑" w:eastAsia="微软雅黑" w:hint="eastAsia"/>
                      <w:color w:val="000000"/>
                      <w:szCs w:val="21"/>
                    </w:rPr>
                  </w:pPr>
                  <w:r>
                    <w:rPr>
                      <w:rFonts w:ascii="微软雅黑" w:eastAsia="微软雅黑" w:hint="eastAsia"/>
                      <w:color w:val="000000"/>
                      <w:szCs w:val="21"/>
                    </w:rPr>
                    <w:t>×30分</w:t>
                  </w:r>
                </w:p>
                <w:p>
                  <w:pPr>
                    <w:pStyle w:val="15"/>
                    <w:spacing w:line="400" w:lineRule="exact"/>
                    <w:rPr>
                      <w:rFonts w:ascii="微软雅黑" w:eastAsia="微软雅黑" w:hint="eastAsia"/>
                      <w:color w:val="000000"/>
                      <w:szCs w:val="21"/>
                    </w:rPr>
                  </w:pPr>
                </w:p>
                <w:p>
                  <w:pPr>
                    <w:pStyle w:val="15"/>
                    <w:spacing w:line="400" w:lineRule="exact"/>
                    <w:rPr>
                      <w:rFonts w:ascii="微软雅黑" w:eastAsia="微软雅黑" w:hint="eastAsia"/>
                      <w:color w:val="000000"/>
                      <w:szCs w:val="21"/>
                    </w:rPr>
                  </w:pPr>
                </w:p>
              </w:tc>
            </w:tr>
            <w:tr>
              <w:trPr>
                <w:trHeight w:val="567"/>
              </w:trPr>
              <w:tc>
                <w:tcPr>
                  <w:tcW w:w="2452" w:type="dxa"/>
                  <w:vMerge/>
                  <w:tcBorders>
                    <w:left w:val="nil"/>
                    <w:right w:val="nil"/>
                  </w:tcBorders>
                  <w:noWrap/>
                  <w:vAlign w:val="center"/>
                </w:tcPr>
                <w:p/>
              </w:tc>
              <w:tc>
                <w:tcPr>
                  <w:tcW w:w="2759" w:type="dxa"/>
                  <w:tcBorders>
                    <w:top w:val="single" w:sz="4" w:space="0" w:color="auto"/>
                    <w:left w:val="nil"/>
                    <w:bottom w:val="nil"/>
                    <w:right w:val="nil"/>
                  </w:tcBorders>
                  <w:noWrap/>
                </w:tcPr>
                <w:p>
                  <w:pPr>
                    <w:pStyle w:val="15"/>
                    <w:spacing w:line="400" w:lineRule="exact"/>
                    <w:jc w:val="center"/>
                    <w:rPr>
                      <w:rFonts w:ascii="微软雅黑" w:eastAsia="微软雅黑" w:hint="eastAsia"/>
                      <w:color w:val="000000"/>
                      <w:szCs w:val="21"/>
                    </w:rPr>
                  </w:pPr>
                  <w:r>
                    <w:rPr>
                      <w:rFonts w:ascii="微软雅黑" w:eastAsia="微软雅黑" w:hint="eastAsia"/>
                      <w:color w:val="000000"/>
                      <w:szCs w:val="21"/>
                    </w:rPr>
                    <w:t>有效投标人最高优惠率</w:t>
                  </w:r>
                </w:p>
              </w:tc>
              <w:tc>
                <w:tcPr>
                  <w:tcW w:w="2759" w:type="dxa"/>
                  <w:vMerge/>
                  <w:tcBorders>
                    <w:left w:val="nil"/>
                    <w:right w:val="nil"/>
                  </w:tcBorders>
                  <w:noWrap/>
                  <w:vAlign w:val="center"/>
                </w:tcPr>
                <w:p/>
              </w:tc>
            </w:tr>
          </w:tbl>
          <w:p>
            <w:pPr>
              <w:widowControl/>
              <w:spacing w:line="400" w:lineRule="exact"/>
              <w:jc w:val="left"/>
              <w:textAlignment w:val="center"/>
              <w:rPr>
                <w:rFonts w:ascii="微软雅黑" w:eastAsia="微软雅黑" w:cs="宋体" w:hint="eastAsia"/>
                <w:color w:val="000000"/>
                <w:szCs w:val="21"/>
                <w:lang w:bidi="ar-SA"/>
              </w:rPr>
            </w:pPr>
            <w:r>
              <w:rPr>
                <w:rFonts w:ascii="微软雅黑" w:eastAsia="微软雅黑" w:cs="宋体" w:hint="eastAsia"/>
                <w:color w:val="000000"/>
                <w:szCs w:val="21"/>
                <w:lang w:bidi="ar-SA"/>
              </w:rPr>
              <w:t>（注：优惠率为协商函中报名人提供的优惠率，例如10%，如填写为九折，则对应优惠率为10%）</w:t>
            </w:r>
          </w:p>
        </w:tc>
      </w:tr>
      <w:tr>
        <w:trPr>
          <w:trHeight w:val="939"/>
        </w:trPr>
        <w:tc>
          <w:tcPr>
            <w:tcW w:w="698" w:type="dxa"/>
            <w:vMerge w:val="restart"/>
            <w:tcBorders>
              <w:top w:val="single" w:sz="4" w:space="0" w:color="000000"/>
              <w:left w:val="single" w:sz="4" w:space="0" w:color="000000"/>
              <w:right w:val="single" w:sz="4" w:space="0" w:color="000000"/>
            </w:tcBorders>
            <w:noWrap/>
            <w:vAlign w:val="center"/>
          </w:tcPr>
          <w:p>
            <w:pPr>
              <w:rPr>
                <w:rFonts w:ascii="微软雅黑" w:eastAsia="微软雅黑" w:hint="eastAsia"/>
              </w:rPr>
            </w:pPr>
            <w:r>
              <w:rPr>
                <w:rFonts w:ascii="微软雅黑" w:eastAsia="微软雅黑" w:hint="eastAsia"/>
              </w:rPr>
              <w:t>2</w:t>
            </w:r>
          </w:p>
        </w:tc>
        <w:tc>
          <w:tcPr>
            <w:tcW w:w="1085" w:type="dxa"/>
            <w:vMerge w:val="restart"/>
            <w:tcBorders>
              <w:top w:val="single" w:sz="4" w:space="0" w:color="000000"/>
              <w:left w:val="single" w:sz="4" w:space="0" w:color="000000"/>
              <w:right w:val="single" w:sz="4" w:space="0" w:color="auto"/>
            </w:tcBorders>
            <w:noWrap/>
            <w:vAlign w:val="center"/>
          </w:tcPr>
          <w:p>
            <w:pPr>
              <w:widowControl/>
              <w:spacing w:line="400" w:lineRule="exact"/>
              <w:jc w:val="center"/>
              <w:textAlignment w:val="center"/>
              <w:rPr>
                <w:rFonts w:ascii="微软雅黑" w:eastAsia="微软雅黑" w:cs="宋体" w:hint="eastAsia"/>
                <w:color w:val="000000"/>
                <w:kern w:val="0"/>
                <w:szCs w:val="21"/>
                <w:lang w:bidi="ar-SA"/>
              </w:rPr>
            </w:pPr>
            <w:r>
              <w:rPr>
                <w:rFonts w:ascii="微软雅黑" w:eastAsia="微软雅黑" w:cs="宋体" w:hint="eastAsia"/>
                <w:color w:val="000000"/>
                <w:kern w:val="0"/>
                <w:szCs w:val="21"/>
                <w:lang w:bidi="ar-SA"/>
              </w:rPr>
              <w:t>技术分</w:t>
            </w:r>
          </w:p>
          <w:p>
            <w:pPr>
              <w:rPr>
                <w:rFonts w:ascii="微软雅黑" w:eastAsia="微软雅黑" w:hint="eastAsia"/>
              </w:rPr>
            </w:pPr>
            <w:r>
              <w:rPr>
                <w:rFonts w:ascii="微软雅黑" w:eastAsia="微软雅黑" w:cs="宋体" w:hint="eastAsia"/>
                <w:color w:val="000000"/>
                <w:kern w:val="0"/>
                <w:szCs w:val="21"/>
                <w:lang w:eastAsia="zh-CN" w:bidi="ar-SA"/>
              </w:rPr>
              <w:t>（</w:t>
            </w:r>
            <w:r>
              <w:rPr>
                <w:rFonts w:ascii="微软雅黑" w:eastAsia="微软雅黑" w:cs="宋体" w:hint="eastAsia"/>
                <w:color w:val="000000"/>
                <w:kern w:val="0"/>
                <w:szCs w:val="21"/>
                <w:lang w:bidi="ar-SA"/>
              </w:rPr>
              <w:t>60分</w:t>
            </w:r>
            <w:r>
              <w:rPr>
                <w:rFonts w:ascii="微软雅黑" w:eastAsia="微软雅黑" w:cs="宋体" w:hint="eastAsia"/>
                <w:color w:val="000000"/>
                <w:kern w:val="0"/>
                <w:szCs w:val="21"/>
                <w:lang w:eastAsia="zh-CN" w:bidi="ar-SA"/>
              </w:rPr>
              <w:t>）</w:t>
            </w:r>
          </w:p>
        </w:tc>
        <w:tc>
          <w:tcPr>
            <w:tcW w:w="1017" w:type="dxa"/>
            <w:tcBorders>
              <w:top w:val="single" w:sz="4" w:space="0" w:color="000000"/>
              <w:left w:val="single" w:sz="4" w:space="0" w:color="000000"/>
              <w:bottom w:val="single" w:sz="4" w:space="0" w:color="auto"/>
              <w:right w:val="single" w:sz="4" w:space="0" w:color="000000"/>
            </w:tcBorders>
            <w:noWrap/>
            <w:vAlign w:val="center"/>
          </w:tcPr>
          <w:p>
            <w:pPr>
              <w:widowControl/>
              <w:spacing w:line="400" w:lineRule="exact"/>
              <w:jc w:val="center"/>
              <w:textAlignment w:val="center"/>
              <w:rPr>
                <w:rFonts w:ascii="微软雅黑" w:eastAsia="微软雅黑" w:cs="宋体" w:hint="eastAsia"/>
                <w:bCs/>
                <w:szCs w:val="21"/>
                <w:lang w:bidi="ar-SA"/>
              </w:rPr>
            </w:pPr>
            <w:r>
              <w:rPr>
                <w:rFonts w:ascii="微软雅黑" w:eastAsia="微软雅黑" w:cs="宋体" w:hint="eastAsia"/>
                <w:bCs/>
                <w:szCs w:val="21"/>
                <w:lang w:bidi="ar-SA"/>
              </w:rPr>
              <w:t>服务</w:t>
            </w:r>
            <w:r>
              <w:rPr>
                <w:rFonts w:ascii="微软雅黑" w:eastAsia="微软雅黑" w:cs="宋体" w:hint="eastAsia"/>
                <w:bCs/>
                <w:szCs w:val="21"/>
                <w:lang w:eastAsia="zh-CN" w:bidi="ar-SA"/>
              </w:rPr>
              <w:t>质量保证</w:t>
            </w:r>
            <w:r>
              <w:rPr>
                <w:rFonts w:ascii="微软雅黑" w:eastAsia="微软雅黑" w:cs="宋体" w:hint="eastAsia"/>
                <w:bCs/>
                <w:szCs w:val="21"/>
                <w:lang w:bidi="ar-SA"/>
              </w:rPr>
              <w:t>承诺</w:t>
            </w:r>
          </w:p>
          <w:p>
            <w:pPr>
              <w:widowControl/>
              <w:spacing w:line="400" w:lineRule="exact"/>
              <w:jc w:val="center"/>
              <w:textAlignment w:val="center"/>
              <w:rPr>
                <w:rFonts w:ascii="微软雅黑" w:eastAsia="微软雅黑" w:cs="宋体" w:hint="eastAsia"/>
                <w:bCs/>
                <w:szCs w:val="21"/>
                <w:lang w:bidi="ar-SA"/>
              </w:rPr>
            </w:pPr>
            <w:r>
              <w:rPr>
                <w:rFonts w:ascii="微软雅黑" w:eastAsia="微软雅黑" w:cs="宋体" w:hint="eastAsia"/>
                <w:bCs/>
                <w:szCs w:val="21"/>
                <w:lang w:bidi="ar-SA"/>
              </w:rPr>
              <w:t>（</w:t>
            </w:r>
            <w:r>
              <w:rPr>
                <w:rFonts w:ascii="微软雅黑" w:eastAsia="微软雅黑" w:cs="宋体" w:hint="eastAsia"/>
                <w:bCs/>
                <w:szCs w:val="21"/>
                <w:lang w:val="en-US" w:eastAsia="zh-CN" w:bidi="ar-SA"/>
              </w:rPr>
              <w:t>20</w:t>
            </w:r>
            <w:r>
              <w:rPr>
                <w:rFonts w:ascii="微软雅黑" w:eastAsia="微软雅黑" w:cs="宋体" w:hint="eastAsia"/>
                <w:bCs/>
                <w:szCs w:val="21"/>
                <w:lang w:bidi="ar-SA"/>
              </w:rPr>
              <w:t>分）</w:t>
            </w:r>
          </w:p>
        </w:tc>
        <w:tc>
          <w:tcPr>
            <w:tcW w:w="6947" w:type="dxa"/>
            <w:tcBorders>
              <w:top w:val="single" w:sz="4" w:space="0" w:color="000000"/>
              <w:left w:val="single" w:sz="4" w:space="0" w:color="000000"/>
              <w:bottom w:val="single" w:sz="4" w:space="0" w:color="auto"/>
              <w:right w:val="single" w:sz="4" w:space="0" w:color="000000"/>
            </w:tcBorders>
            <w:noWrap/>
            <w:vAlign w:val="center"/>
          </w:tcPr>
          <w:p>
            <w:pPr>
              <w:tabs>
                <w:tab w:val="left" w:pos="3204"/>
              </w:tabs>
              <w:spacing w:line="400" w:lineRule="exact"/>
              <w:rPr>
                <w:rFonts w:ascii="微软雅黑" w:eastAsia="微软雅黑" w:cs="宋体" w:hint="eastAsia"/>
                <w:bCs/>
                <w:szCs w:val="21"/>
                <w:lang w:bidi="ar-SA"/>
              </w:rPr>
            </w:pPr>
            <w:r>
              <w:rPr>
                <w:rFonts w:ascii="微软雅黑" w:eastAsia="微软雅黑" w:cs="宋体" w:hint="eastAsia"/>
                <w:bCs/>
                <w:szCs w:val="21"/>
                <w:lang w:bidi="ar-SA"/>
              </w:rPr>
              <w:t>重点评审内容包括：采用符合国家标准合格的零部件、配件；提供售后服务承诺；对维修车辆实行建档管理；提供的24小时无假日施救、维修服务、维修时间、维修完工保质期服务承诺等。 根据服务承诺内容按照</w:t>
            </w:r>
            <w:r>
              <w:rPr>
                <w:rFonts w:ascii="微软雅黑" w:eastAsia="微软雅黑" w:hint="eastAsia"/>
              </w:rPr>
              <w:t>优（14-20分）、</w:t>
            </w:r>
            <w:r>
              <w:rPr>
                <w:rFonts w:ascii="微软雅黑" w:eastAsia="微软雅黑" w:cs="宋体" w:hint="eastAsia"/>
                <w:bCs/>
                <w:szCs w:val="21"/>
                <w:lang w:bidi="ar-SA"/>
              </w:rPr>
              <w:t>良（7-13分）、 差（0-6分）进行评分。</w:t>
            </w:r>
          </w:p>
        </w:tc>
      </w:tr>
      <w:tr>
        <w:trPr>
          <w:trHeight w:val="1915"/>
        </w:trPr>
        <w:tc>
          <w:tcPr>
            <w:tcW w:w="698" w:type="dxa"/>
            <w:vMerge/>
            <w:tcBorders>
              <w:top w:val="single" w:sz="4" w:space="0" w:color="000000"/>
              <w:left w:val="single" w:sz="4" w:space="0" w:color="000000"/>
              <w:right w:val="single" w:sz="4" w:space="0" w:color="000000"/>
            </w:tcBorders>
            <w:noWrap/>
            <w:vAlign w:val="center"/>
          </w:tcPr>
          <w:p/>
        </w:tc>
        <w:tc>
          <w:tcPr>
            <w:tcW w:w="1085" w:type="dxa"/>
            <w:vMerge/>
            <w:tcBorders>
              <w:top w:val="single" w:sz="4" w:space="0" w:color="000000"/>
              <w:left w:val="single" w:sz="4" w:space="0" w:color="000000"/>
              <w:right w:val="single" w:sz="4" w:space="0" w:color="auto"/>
            </w:tcBorders>
            <w:noWrap/>
            <w:vAlign w:val="center"/>
          </w:tcPr>
          <w:p/>
        </w:tc>
        <w:tc>
          <w:tcPr>
            <w:tcW w:w="1017" w:type="dxa"/>
            <w:tcBorders>
              <w:top w:val="single" w:sz="4" w:space="0" w:color="000000"/>
              <w:left w:val="single" w:sz="4" w:space="0" w:color="000000"/>
              <w:bottom w:val="single" w:sz="4" w:space="0" w:color="auto"/>
              <w:right w:val="single" w:sz="4" w:space="0" w:color="000000"/>
            </w:tcBorders>
            <w:noWrap/>
            <w:vAlign w:val="center"/>
          </w:tcPr>
          <w:p>
            <w:pPr>
              <w:widowControl/>
              <w:spacing w:line="400" w:lineRule="exact"/>
              <w:jc w:val="center"/>
              <w:textAlignment w:val="center"/>
              <w:rPr>
                <w:rFonts w:ascii="微软雅黑" w:eastAsia="微软雅黑" w:cs="宋体" w:hint="eastAsia"/>
                <w:bCs/>
                <w:szCs w:val="21"/>
                <w:lang w:bidi="ar-SA"/>
              </w:rPr>
            </w:pPr>
            <w:r>
              <w:rPr>
                <w:rFonts w:ascii="微软雅黑" w:eastAsia="微软雅黑" w:cs="宋体" w:hint="eastAsia"/>
                <w:bCs/>
                <w:szCs w:val="21"/>
                <w:lang w:bidi="ar-SA"/>
              </w:rPr>
              <w:t>经营场所信息</w:t>
            </w:r>
          </w:p>
          <w:p>
            <w:pPr>
              <w:widowControl/>
              <w:spacing w:line="400" w:lineRule="exact"/>
              <w:jc w:val="center"/>
              <w:textAlignment w:val="center"/>
              <w:rPr>
                <w:rFonts w:ascii="微软雅黑" w:eastAsia="微软雅黑" w:cs="宋体" w:hint="eastAsia"/>
                <w:bCs/>
                <w:szCs w:val="21"/>
                <w:lang w:bidi="ar-SA"/>
              </w:rPr>
            </w:pPr>
            <w:r>
              <w:rPr>
                <w:rFonts w:ascii="微软雅黑" w:eastAsia="微软雅黑" w:cs="宋体" w:hint="eastAsia"/>
                <w:bCs/>
                <w:szCs w:val="21"/>
                <w:lang w:bidi="ar-SA"/>
              </w:rPr>
              <w:t>（20分）</w:t>
            </w:r>
          </w:p>
        </w:tc>
        <w:tc>
          <w:tcPr>
            <w:tcW w:w="6947" w:type="dxa"/>
            <w:tcBorders>
              <w:top w:val="single" w:sz="4" w:space="0" w:color="000000"/>
              <w:left w:val="single" w:sz="4" w:space="0" w:color="000000"/>
              <w:bottom w:val="single" w:sz="4" w:space="0" w:color="auto"/>
              <w:right w:val="single" w:sz="4" w:space="0" w:color="000000"/>
            </w:tcBorders>
            <w:noWrap/>
            <w:vAlign w:val="center"/>
          </w:tcPr>
          <w:p>
            <w:pPr>
              <w:tabs>
                <w:tab w:val="left" w:pos="3204"/>
              </w:tabs>
              <w:spacing w:line="400" w:lineRule="exact"/>
              <w:rPr>
                <w:rFonts w:ascii="微软雅黑" w:eastAsia="微软雅黑" w:cs="宋体" w:hint="eastAsia"/>
                <w:bCs/>
                <w:szCs w:val="21"/>
                <w:lang w:bidi="ar-SA"/>
              </w:rPr>
            </w:pPr>
            <w:r>
              <w:rPr>
                <w:rFonts w:ascii="微软雅黑" w:eastAsia="微软雅黑" w:cs="宋体" w:hint="eastAsia"/>
                <w:bCs/>
                <w:szCs w:val="21"/>
                <w:lang w:bidi="ar-SA"/>
              </w:rPr>
              <w:t>重点评审内容包括：机电工位、钣金工位、喷漆工位、磨灰工位、抛光工位、美容、配件仓库、停车场等信息；相关场所租赁或购置信息；经营场所工位布局；现场实拍图等内容。根据提供的信息按照</w:t>
            </w:r>
            <w:r>
              <w:rPr>
                <w:rFonts w:ascii="微软雅黑" w:eastAsia="微软雅黑" w:hint="eastAsia"/>
              </w:rPr>
              <w:t>优（14-20分）、</w:t>
            </w:r>
            <w:r>
              <w:rPr>
                <w:rFonts w:ascii="微软雅黑" w:eastAsia="微软雅黑" w:cs="宋体" w:hint="eastAsia"/>
                <w:bCs/>
                <w:szCs w:val="21"/>
                <w:lang w:bidi="ar-SA"/>
              </w:rPr>
              <w:t>良（7-13分）、 差（0-6分）进行评分。</w:t>
            </w:r>
          </w:p>
        </w:tc>
      </w:tr>
      <w:tr>
        <w:trPr>
          <w:trHeight w:val="939"/>
        </w:trPr>
        <w:tc>
          <w:tcPr>
            <w:tcW w:w="698" w:type="dxa"/>
            <w:vMerge/>
            <w:tcBorders>
              <w:top w:val="single" w:sz="4" w:space="0" w:color="000000"/>
              <w:left w:val="single" w:sz="4" w:space="0" w:color="000000"/>
              <w:right w:val="single" w:sz="4" w:space="0" w:color="000000"/>
            </w:tcBorders>
            <w:noWrap/>
            <w:vAlign w:val="center"/>
          </w:tcPr>
          <w:p/>
        </w:tc>
        <w:tc>
          <w:tcPr>
            <w:tcW w:w="1085" w:type="dxa"/>
            <w:vMerge/>
            <w:tcBorders>
              <w:top w:val="single" w:sz="4" w:space="0" w:color="000000"/>
              <w:left w:val="single" w:sz="4" w:space="0" w:color="000000"/>
              <w:right w:val="single" w:sz="4" w:space="0" w:color="auto"/>
            </w:tcBorders>
            <w:noWrap/>
            <w:vAlign w:val="center"/>
          </w:tcPr>
          <w:p/>
        </w:tc>
        <w:tc>
          <w:tcPr>
            <w:tcW w:w="1017" w:type="dxa"/>
            <w:tcBorders>
              <w:top w:val="single" w:sz="4" w:space="0" w:color="000000"/>
              <w:left w:val="single" w:sz="4" w:space="0" w:color="000000"/>
              <w:bottom w:val="single" w:sz="4" w:space="0" w:color="auto"/>
              <w:right w:val="single" w:sz="4" w:space="0" w:color="000000"/>
            </w:tcBorders>
            <w:noWrap/>
            <w:vAlign w:val="center"/>
          </w:tcPr>
          <w:p>
            <w:pPr>
              <w:widowControl/>
              <w:spacing w:line="400" w:lineRule="exact"/>
              <w:jc w:val="center"/>
              <w:textAlignment w:val="center"/>
              <w:rPr>
                <w:rFonts w:ascii="微软雅黑" w:eastAsia="微软雅黑" w:cs="宋体" w:hint="eastAsia"/>
                <w:bCs/>
                <w:szCs w:val="21"/>
                <w:lang w:bidi="ar-SA"/>
              </w:rPr>
            </w:pPr>
            <w:r>
              <w:rPr>
                <w:rFonts w:ascii="微软雅黑" w:eastAsia="微软雅黑" w:cs="宋体" w:hint="eastAsia"/>
                <w:bCs/>
                <w:szCs w:val="21"/>
                <w:lang w:bidi="ar-SA"/>
              </w:rPr>
              <w:t>主要维修设备及技术人员</w:t>
            </w:r>
          </w:p>
          <w:p>
            <w:pPr>
              <w:widowControl/>
              <w:spacing w:line="400" w:lineRule="exact"/>
              <w:jc w:val="center"/>
              <w:textAlignment w:val="center"/>
              <w:rPr>
                <w:rFonts w:ascii="微软雅黑" w:eastAsia="微软雅黑" w:cs="宋体" w:hint="eastAsia"/>
                <w:bCs/>
                <w:szCs w:val="21"/>
                <w:lang w:bidi="ar-SA"/>
              </w:rPr>
            </w:pPr>
            <w:r>
              <w:rPr>
                <w:rFonts w:ascii="微软雅黑" w:eastAsia="微软雅黑" w:cs="宋体" w:hint="eastAsia"/>
                <w:bCs/>
                <w:szCs w:val="21"/>
                <w:lang w:bidi="ar-SA"/>
              </w:rPr>
              <w:t>（</w:t>
            </w:r>
            <w:r>
              <w:rPr>
                <w:rFonts w:ascii="微软雅黑" w:eastAsia="微软雅黑" w:cs="宋体" w:hint="eastAsia"/>
                <w:bCs/>
                <w:szCs w:val="21"/>
                <w:lang w:val="en-US" w:eastAsia="zh-CN" w:bidi="ar-SA"/>
              </w:rPr>
              <w:t>20</w:t>
            </w:r>
            <w:r>
              <w:rPr>
                <w:rFonts w:ascii="微软雅黑" w:eastAsia="微软雅黑" w:cs="宋体" w:hint="eastAsia"/>
                <w:bCs/>
                <w:szCs w:val="21"/>
                <w:lang w:bidi="ar-SA"/>
              </w:rPr>
              <w:t>分）</w:t>
            </w:r>
          </w:p>
        </w:tc>
        <w:tc>
          <w:tcPr>
            <w:tcW w:w="6947" w:type="dxa"/>
            <w:tcBorders>
              <w:top w:val="single" w:sz="4" w:space="0" w:color="000000"/>
              <w:left w:val="single" w:sz="4" w:space="0" w:color="000000"/>
              <w:bottom w:val="single" w:sz="4" w:space="0" w:color="auto"/>
              <w:right w:val="single" w:sz="4" w:space="0" w:color="000000"/>
            </w:tcBorders>
            <w:noWrap/>
            <w:vAlign w:val="center"/>
          </w:tcPr>
          <w:p>
            <w:pPr>
              <w:tabs>
                <w:tab w:val="left" w:pos="3204"/>
              </w:tabs>
              <w:spacing w:line="400" w:lineRule="exact"/>
              <w:rPr>
                <w:rFonts w:ascii="微软雅黑" w:eastAsia="微软雅黑" w:cs="宋体" w:hint="eastAsia"/>
                <w:bCs/>
                <w:szCs w:val="21"/>
                <w:lang w:bidi="ar-SA"/>
              </w:rPr>
            </w:pPr>
            <w:r>
              <w:rPr>
                <w:rFonts w:ascii="微软雅黑" w:eastAsia="微软雅黑" w:cs="宋体" w:hint="eastAsia"/>
                <w:bCs/>
                <w:szCs w:val="21"/>
                <w:lang w:bidi="ar-SA"/>
              </w:rPr>
              <w:t>重点评审内容包括：检测设备、专用设备、客服专用车、通用设备、仪表工具等信息及相关设备图片；主要技术人员信息、相关职业资格证书及社保参保缴费证明等信息。根据提供的信息按照</w:t>
            </w:r>
            <w:r>
              <w:rPr>
                <w:rFonts w:ascii="微软雅黑" w:eastAsia="微软雅黑" w:hint="eastAsia"/>
              </w:rPr>
              <w:t>优（14-20分）、</w:t>
            </w:r>
            <w:r>
              <w:rPr>
                <w:rFonts w:ascii="微软雅黑" w:eastAsia="微软雅黑" w:cs="宋体" w:hint="eastAsia"/>
                <w:bCs/>
                <w:szCs w:val="21"/>
                <w:lang w:bidi="ar-SA"/>
              </w:rPr>
              <w:t>良（7-13分）、 差（0-6分）进行评分。</w:t>
            </w:r>
          </w:p>
        </w:tc>
      </w:tr>
      <w:tr>
        <w:trPr>
          <w:trHeight w:val="1215"/>
        </w:trPr>
        <w:tc>
          <w:tcPr>
            <w:tcW w:w="698" w:type="dxa"/>
            <w:vMerge w:val="restart"/>
            <w:tcBorders>
              <w:top w:val="single" w:sz="4" w:space="0" w:color="000000"/>
              <w:left w:val="single" w:sz="4" w:space="0" w:color="000000"/>
              <w:right w:val="single" w:sz="4" w:space="0" w:color="000000"/>
            </w:tcBorders>
            <w:noWrap/>
            <w:vAlign w:val="center"/>
          </w:tcPr>
          <w:p>
            <w:pPr>
              <w:widowControl/>
              <w:spacing w:line="400" w:lineRule="exact"/>
              <w:jc w:val="center"/>
              <w:textAlignment w:val="center"/>
              <w:rPr>
                <w:rFonts w:ascii="微软雅黑" w:eastAsia="微软雅黑" w:cs="宋体" w:hint="eastAsia"/>
                <w:color w:val="000000"/>
                <w:kern w:val="0"/>
                <w:szCs w:val="21"/>
                <w:lang w:bidi="ar-SA"/>
              </w:rPr>
            </w:pPr>
            <w:r>
              <w:rPr>
                <w:rFonts w:ascii="微软雅黑" w:eastAsia="微软雅黑" w:cs="宋体" w:hint="eastAsia"/>
                <w:color w:val="000000"/>
                <w:kern w:val="0"/>
                <w:szCs w:val="21"/>
                <w:lang w:bidi="ar-SA"/>
              </w:rPr>
              <w:t>3</w:t>
            </w:r>
          </w:p>
        </w:tc>
        <w:tc>
          <w:tcPr>
            <w:tcW w:w="1085" w:type="dxa"/>
            <w:vMerge w:val="restart"/>
            <w:tcBorders>
              <w:top w:val="single" w:sz="4" w:space="0" w:color="000000"/>
              <w:left w:val="single" w:sz="4" w:space="0" w:color="000000"/>
              <w:right w:val="single" w:sz="4" w:space="0" w:color="auto"/>
            </w:tcBorders>
            <w:noWrap/>
            <w:vAlign w:val="center"/>
          </w:tcPr>
          <w:p>
            <w:pPr>
              <w:widowControl/>
              <w:spacing w:line="400" w:lineRule="exact"/>
              <w:jc w:val="center"/>
              <w:textAlignment w:val="center"/>
              <w:rPr>
                <w:rFonts w:ascii="微软雅黑" w:eastAsia="微软雅黑" w:cs="宋体" w:hint="eastAsia"/>
                <w:color w:val="000000"/>
                <w:kern w:val="0"/>
                <w:szCs w:val="21"/>
                <w:lang w:bidi="ar-SA"/>
              </w:rPr>
            </w:pPr>
            <w:r>
              <w:rPr>
                <w:rFonts w:ascii="微软雅黑" w:eastAsia="微软雅黑" w:hint="eastAsia"/>
                <w:szCs w:val="21"/>
              </w:rPr>
              <w:t>资信商务分</w:t>
            </w:r>
          </w:p>
          <w:p>
            <w:pPr>
              <w:widowControl/>
              <w:spacing w:line="400" w:lineRule="exact"/>
              <w:jc w:val="center"/>
              <w:textAlignment w:val="center"/>
              <w:rPr>
                <w:rFonts w:ascii="微软雅黑" w:eastAsia="微软雅黑" w:cs="宋体" w:hint="eastAsia"/>
                <w:color w:val="000000"/>
                <w:kern w:val="0"/>
                <w:szCs w:val="21"/>
                <w:lang w:bidi="ar-SA"/>
              </w:rPr>
            </w:pPr>
            <w:r>
              <w:rPr>
                <w:rFonts w:ascii="微软雅黑" w:eastAsia="微软雅黑" w:cs="宋体" w:hint="eastAsia"/>
                <w:color w:val="000000"/>
                <w:kern w:val="0"/>
                <w:szCs w:val="21"/>
                <w:lang w:bidi="ar-SA"/>
              </w:rPr>
              <w:t>（10分）</w:t>
            </w:r>
          </w:p>
        </w:tc>
        <w:tc>
          <w:tcPr>
            <w:tcW w:w="1017" w:type="dxa"/>
            <w:tcBorders>
              <w:top w:val="single" w:sz="4" w:space="0" w:color="000000"/>
              <w:left w:val="single" w:sz="4" w:space="0" w:color="000000"/>
              <w:bottom w:val="single" w:sz="4" w:space="0" w:color="auto"/>
              <w:right w:val="single" w:sz="4" w:space="0" w:color="000000"/>
            </w:tcBorders>
            <w:noWrap/>
            <w:vAlign w:val="center"/>
          </w:tcPr>
          <w:p>
            <w:pPr>
              <w:widowControl/>
              <w:spacing w:line="400" w:lineRule="exact"/>
              <w:jc w:val="center"/>
              <w:textAlignment w:val="center"/>
              <w:rPr>
                <w:rFonts w:ascii="微软雅黑" w:eastAsia="微软雅黑" w:cs="宋体" w:hint="eastAsia"/>
                <w:bCs/>
                <w:szCs w:val="21"/>
                <w:lang w:bidi="ar-SA"/>
              </w:rPr>
            </w:pPr>
            <w:r>
              <w:rPr>
                <w:rFonts w:ascii="微软雅黑" w:eastAsia="微软雅黑" w:cs="宋体" w:hint="eastAsia"/>
                <w:bCs/>
                <w:szCs w:val="21"/>
                <w:lang w:bidi="ar-SA"/>
              </w:rPr>
              <w:t>业绩</w:t>
            </w:r>
          </w:p>
          <w:p>
            <w:pPr>
              <w:widowControl/>
              <w:spacing w:line="400" w:lineRule="exact"/>
              <w:jc w:val="center"/>
              <w:textAlignment w:val="center"/>
              <w:rPr>
                <w:rFonts w:ascii="微软雅黑" w:eastAsia="微软雅黑" w:cs="宋体" w:hint="eastAsia"/>
                <w:color w:val="000000"/>
                <w:kern w:val="0"/>
                <w:szCs w:val="21"/>
                <w:lang w:bidi="ar-SA"/>
              </w:rPr>
            </w:pPr>
            <w:r>
              <w:rPr>
                <w:rFonts w:ascii="微软雅黑" w:eastAsia="微软雅黑" w:cs="宋体" w:hint="eastAsia"/>
                <w:bCs/>
                <w:szCs w:val="21"/>
                <w:lang w:bidi="ar-SA"/>
              </w:rPr>
              <w:t>（8分）</w:t>
            </w:r>
          </w:p>
        </w:tc>
        <w:tc>
          <w:tcPr>
            <w:tcW w:w="6947" w:type="dxa"/>
            <w:tcBorders>
              <w:top w:val="single" w:sz="4" w:space="0" w:color="000000"/>
              <w:left w:val="single" w:sz="4" w:space="0" w:color="000000"/>
              <w:bottom w:val="single" w:sz="4" w:space="0" w:color="auto"/>
              <w:right w:val="single" w:sz="4" w:space="0" w:color="000000"/>
            </w:tcBorders>
            <w:noWrap/>
            <w:vAlign w:val="center"/>
          </w:tcPr>
          <w:p>
            <w:pPr>
              <w:tabs>
                <w:tab w:val="left" w:pos="3204"/>
              </w:tabs>
              <w:spacing w:line="400" w:lineRule="exact"/>
              <w:rPr>
                <w:rFonts w:ascii="微软雅黑" w:eastAsia="微软雅黑" w:cs="宋体" w:hint="eastAsia"/>
                <w:kern w:val="0"/>
                <w:szCs w:val="21"/>
                <w:lang w:bidi="ar-SA"/>
              </w:rPr>
            </w:pPr>
            <w:r>
              <w:rPr>
                <w:rFonts w:ascii="微软雅黑" w:eastAsia="微软雅黑" w:cs="宋体" w:hint="eastAsia"/>
                <w:bCs/>
                <w:szCs w:val="21"/>
                <w:lang w:bidi="ar-SA"/>
              </w:rPr>
              <w:t>2022年1月至投标截止日前，中标过类似项目的，每个得2分，此项满分8分。（附中标通知书、成交通知书或项目合同复印件）</w:t>
            </w:r>
          </w:p>
        </w:tc>
      </w:tr>
      <w:tr>
        <w:trPr>
          <w:trHeight w:val="835"/>
        </w:trPr>
        <w:tc>
          <w:tcPr>
            <w:tcW w:w="698" w:type="dxa"/>
            <w:vMerge/>
            <w:tcBorders>
              <w:left w:val="single" w:sz="4" w:space="0" w:color="000000"/>
              <w:bottom w:val="single" w:sz="4" w:space="0" w:color="000000"/>
              <w:right w:val="single" w:sz="4" w:space="0" w:color="000000"/>
            </w:tcBorders>
            <w:noWrap/>
            <w:vAlign w:val="center"/>
          </w:tcPr>
          <w:p/>
        </w:tc>
        <w:tc>
          <w:tcPr>
            <w:tcW w:w="1085" w:type="dxa"/>
            <w:vMerge/>
            <w:tcBorders>
              <w:left w:val="single" w:sz="4" w:space="0" w:color="000000"/>
              <w:bottom w:val="single" w:sz="4" w:space="0" w:color="000000"/>
              <w:right w:val="single" w:sz="4" w:space="0" w:color="auto"/>
            </w:tcBorders>
            <w:noWrap/>
            <w:vAlign w:val="center"/>
          </w:tcPr>
          <w:p/>
        </w:tc>
        <w:tc>
          <w:tcPr>
            <w:tcW w:w="1017" w:type="dxa"/>
            <w:tcBorders>
              <w:top w:val="single" w:sz="4" w:space="0" w:color="auto"/>
              <w:left w:val="single" w:sz="4" w:space="0" w:color="000000"/>
              <w:bottom w:val="single" w:sz="4" w:space="0" w:color="000000"/>
              <w:right w:val="single" w:sz="4" w:space="0" w:color="000000"/>
            </w:tcBorders>
            <w:noWrap/>
            <w:vAlign w:val="center"/>
          </w:tcPr>
          <w:p>
            <w:pPr>
              <w:widowControl/>
              <w:spacing w:line="400" w:lineRule="exact"/>
              <w:jc w:val="center"/>
              <w:textAlignment w:val="center"/>
              <w:rPr>
                <w:rFonts w:ascii="微软雅黑" w:eastAsia="微软雅黑" w:cs="宋体" w:hint="eastAsia"/>
                <w:bCs/>
                <w:szCs w:val="21"/>
                <w:lang w:bidi="ar-SA"/>
              </w:rPr>
            </w:pPr>
            <w:r>
              <w:rPr>
                <w:rFonts w:ascii="微软雅黑" w:eastAsia="微软雅黑" w:cs="宋体" w:hint="eastAsia"/>
                <w:bCs/>
                <w:szCs w:val="21"/>
                <w:lang w:bidi="ar-SA"/>
              </w:rPr>
              <w:t>企业管理体系</w:t>
            </w:r>
          </w:p>
          <w:p>
            <w:pPr>
              <w:widowControl/>
              <w:spacing w:line="400" w:lineRule="exact"/>
              <w:jc w:val="center"/>
              <w:textAlignment w:val="center"/>
              <w:rPr>
                <w:rFonts w:ascii="微软雅黑" w:eastAsia="微软雅黑" w:cs="宋体" w:hint="eastAsia"/>
                <w:color w:val="000000"/>
                <w:kern w:val="0"/>
                <w:szCs w:val="21"/>
                <w:lang w:bidi="ar-SA"/>
              </w:rPr>
            </w:pPr>
            <w:r>
              <w:rPr>
                <w:rFonts w:ascii="微软雅黑" w:eastAsia="微软雅黑" w:cs="宋体" w:hint="eastAsia"/>
                <w:bCs/>
                <w:szCs w:val="21"/>
                <w:lang w:bidi="ar-SA"/>
              </w:rPr>
              <w:t>（2分）</w:t>
            </w:r>
          </w:p>
        </w:tc>
        <w:tc>
          <w:tcPr>
            <w:tcW w:w="6947" w:type="dxa"/>
            <w:tcBorders>
              <w:top w:val="single" w:sz="4" w:space="0" w:color="auto"/>
              <w:left w:val="single" w:sz="4" w:space="0" w:color="000000"/>
              <w:bottom w:val="single" w:sz="4" w:space="0" w:color="000000"/>
              <w:right w:val="single" w:sz="4" w:space="0" w:color="000000"/>
            </w:tcBorders>
            <w:noWrap/>
            <w:vAlign w:val="center"/>
          </w:tcPr>
          <w:p>
            <w:pPr>
              <w:tabs>
                <w:tab w:val="left" w:pos="3204"/>
              </w:tabs>
              <w:spacing w:line="400" w:lineRule="exact"/>
              <w:rPr>
                <w:rFonts w:ascii="微软雅黑" w:eastAsia="微软雅黑" w:hint="eastAsia"/>
                <w:spacing w:val="6"/>
                <w:kern w:val="48"/>
              </w:rPr>
            </w:pPr>
            <w:r>
              <w:rPr>
                <w:rFonts w:ascii="微软雅黑" w:eastAsia="微软雅黑" w:cs="宋体" w:hint="eastAsia"/>
                <w:bCs/>
                <w:szCs w:val="21"/>
                <w:lang w:bidi="ar-SA"/>
              </w:rPr>
              <w:t>企业通过ISO质量体系认证并保持有效的，得2分。</w:t>
            </w:r>
          </w:p>
        </w:tc>
      </w:tr>
    </w:tbl>
    <w:p>
      <w:pPr>
        <w:snapToGrid w:val="0"/>
        <w:spacing w:line="480" w:lineRule="exact"/>
        <w:ind w:firstLineChars="200" w:firstLine="560"/>
        <w:jc w:val="left"/>
        <w:rPr>
          <w:rFonts w:ascii="方正楷体_GBK" w:eastAsia="方正楷体_GBK" w:hint="eastAsia"/>
          <w:b/>
          <w:sz w:val="28"/>
          <w:szCs w:val="28"/>
        </w:rPr>
      </w:pPr>
    </w:p>
    <w:p>
      <w:pPr>
        <w:snapToGrid w:val="0"/>
        <w:spacing w:line="480" w:lineRule="exact"/>
        <w:ind w:firstLineChars="200" w:firstLine="560"/>
        <w:jc w:val="left"/>
        <w:rPr>
          <w:rFonts w:ascii="方正楷体_GBK" w:eastAsia="方正楷体_GBK" w:hint="eastAsia"/>
          <w:b/>
          <w:sz w:val="28"/>
          <w:szCs w:val="28"/>
          <w:lang w:eastAsia="zh-CN"/>
        </w:rPr>
      </w:pPr>
      <w:r>
        <w:rPr>
          <w:rFonts w:ascii="方正楷体_GBK" w:eastAsia="方正楷体_GBK" w:cs="方正楷体_GBK" w:hint="eastAsia"/>
          <w:b/>
          <w:sz w:val="28"/>
          <w:szCs w:val="28"/>
          <w:lang w:bidi="ar-SA"/>
        </w:rPr>
        <w:t>（三）</w:t>
      </w:r>
      <w:r>
        <w:rPr>
          <w:rFonts w:ascii="方正楷体_GBK" w:eastAsia="方正楷体_GBK" w:hint="eastAsia"/>
          <w:b/>
          <w:sz w:val="28"/>
          <w:szCs w:val="28"/>
        </w:rPr>
        <w:t>成交候选人确定/推荐原则</w:t>
      </w:r>
      <w:r>
        <w:rPr>
          <w:rFonts w:ascii="方正楷体_GBK" w:eastAsia="方正楷体_GBK" w:hint="eastAsia"/>
          <w:b/>
          <w:sz w:val="28"/>
          <w:szCs w:val="28"/>
          <w:lang w:eastAsia="zh-CN"/>
        </w:rPr>
        <w:t>：</w:t>
      </w:r>
    </w:p>
    <w:p>
      <w:pPr>
        <w:snapToGrid w:val="0"/>
        <w:spacing w:line="480" w:lineRule="exact"/>
        <w:ind w:firstLineChars="200" w:firstLine="560"/>
        <w:jc w:val="left"/>
        <w:rPr>
          <w:rFonts w:ascii="方正仿宋_GBK" w:eastAsia="方正仿宋_GBK" w:cs="Courier New" w:hint="eastAsia"/>
          <w:bCs/>
          <w:sz w:val="28"/>
          <w:szCs w:val="28"/>
          <w:lang w:bidi="ar-SA"/>
        </w:rPr>
      </w:pPr>
      <w:r>
        <w:rPr>
          <w:rFonts w:ascii="方正仿宋_GBK" w:eastAsia="方正仿宋_GBK" w:hint="eastAsia"/>
          <w:sz w:val="28"/>
          <w:szCs w:val="28"/>
        </w:rPr>
        <w:t>评审小组将按总得分由高到低排列成交候选供应商顺序（总得分相同时，依次按报价低优先、技术分高优先、质量保证期长优先、提交服务成果时间短优先、处理问题到达时间短优先等顺序排列），并依照次序确定/推荐成交候选人。</w:t>
      </w:r>
    </w:p>
    <w:p>
      <w:pPr>
        <w:spacing w:line="480" w:lineRule="exact"/>
        <w:ind w:firstLineChars="200" w:firstLine="560"/>
        <w:rPr>
          <w:rFonts w:eastAsia="方正仿宋_GBK"/>
          <w:color w:val="000000"/>
          <w:sz w:val="24"/>
          <w:szCs w:val="24"/>
        </w:rPr>
      </w:pPr>
      <w:r>
        <w:rPr>
          <w:rFonts w:eastAsia="方正黑体_GBK" w:hint="eastAsia"/>
          <w:color w:val="000000"/>
          <w:sz w:val="28"/>
          <w:szCs w:val="28"/>
        </w:rPr>
        <w:t>五</w:t>
      </w:r>
      <w:r>
        <w:rPr>
          <w:rFonts w:eastAsia="方正黑体_GBK"/>
          <w:color w:val="000000"/>
          <w:sz w:val="28"/>
          <w:szCs w:val="28"/>
        </w:rPr>
        <w:t>、评审地点</w:t>
      </w:r>
      <w:r>
        <w:rPr>
          <w:rFonts w:eastAsia="方正仿宋_GBK"/>
          <w:color w:val="000000"/>
          <w:sz w:val="28"/>
          <w:szCs w:val="28"/>
        </w:rPr>
        <w:t>：</w:t>
      </w:r>
      <w:r>
        <w:rPr>
          <w:rFonts w:eastAsia="方正仿宋_GBK"/>
          <w:color w:val="000000"/>
          <w:sz w:val="28"/>
          <w:szCs w:val="28"/>
          <w:lang w:val="en-US" w:eastAsia="zh-CN"/>
        </w:rPr>
        <w:t>广西凭祥市友谊关口岸申报中心大楼4楼会议室。</w:t>
      </w:r>
    </w:p>
    <w:p/>
    <w:sectPr>
      <w:pgSz w:w="11907" w:h="16840"/>
      <w:pgMar w:top="1418" w:right="1701" w:bottom="1418" w:left="1701" w:header="851" w:footer="992" w:gutter="0"/>
      <w:docGrid w:type="linesAndChars" w:linePitch="312" w:charSpace="0"/>
    </w:sectPr>
  </w:body>
</w:document>
</file>

<file path=word/fontTable.xml><?xml version="1.0" encoding="utf-8"?>
<w:fonts xmlns:w="http://schemas.openxmlformats.org/wordprocessingml/2006/main" xmlns:r="http://schemas.openxmlformats.org/officeDocument/2006/relationships">
  <w:font w:name="方正小标宋_GBK">
    <w:altName w:val="微软雅黑"/>
    <w:panose1 w:val="02000000000000000000"/>
    <w:charset w:val="86"/>
    <w:family w:val="script"/>
    <w:pitch w:val="variable"/>
    <w:sig w:usb0="00000000" w:usb1="00000000" w:usb2="00082016" w:usb3="00000000" w:csb0="00040001" w:csb1="00000000"/>
  </w:font>
  <w:font w:name="方正黑体_GBK">
    <w:altName w:val="微软雅黑"/>
    <w:panose1 w:val="02000000000000000000"/>
    <w:charset w:val="86"/>
    <w:family w:val="script"/>
    <w:pitch w:val="variable"/>
    <w:sig w:usb0="00000000" w:usb1="00000000" w:usb2="00082016" w:usb3="00000000" w:csb0="00040001" w:csb1="00000000"/>
  </w:font>
  <w:font w:name="方正楷体_GBK">
    <w:altName w:val="微软雅黑"/>
    <w:panose1 w:val="02000000000000000000"/>
    <w:charset w:val="86"/>
    <w:family w:val="script"/>
    <w:pitch w:val="variable"/>
    <w:sig w:usb0="00000000" w:usb1="00000000" w:usb2="00000000" w:usb3="00000000" w:csb0="00040000" w:csb1="00000000"/>
  </w:font>
  <w:font w:name="方正仿宋_GBK">
    <w:altName w:val="微软雅黑"/>
    <w:panose1 w:val="02000000000000000000"/>
    <w:charset w:val="86"/>
    <w:family w:val="script"/>
    <w:pitch w:val="variable"/>
    <w:sig w:usb0="00000000" w:usb1="0000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微软雅黑">
    <w:panose1 w:val="020B0503020204020204"/>
    <w:charset w:val="86"/>
    <w:family w:val="swiss"/>
    <w:pitch w:val="variable"/>
    <w:sig w:usb0="80000287" w:usb1="2ACF3C50" w:usb2="00000016" w:usb3="00000000" w:csb0="0004001F" w:csb1="00000000"/>
  </w:font>
  <w:font w:name="宋体">
    <w:panose1 w:val="02010600030101010101"/>
    <w:charset w:val="86"/>
    <w:family w:val="auto"/>
    <w:pitch w:val="variable"/>
    <w:sig w:usb0="00000203" w:usb1="288F0000" w:usb2="00000006" w:usb3="00000000" w:csb0="00040001" w:csb1="00000000"/>
  </w:font>
  <w:font w:name="Courier New">
    <w:panose1 w:val="02070309020205020404"/>
    <w:charset w:val="01"/>
    <w:family w:val="modern"/>
    <w:pitch w:val="variable"/>
    <w:sig w:usb0="E0002EFF" w:usb1="C0007843" w:usb2="00000009"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8"/>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0"/>
      <w:lang w:val="en-US" w:eastAsia="zh-CN" w:bidi="ar-SA"/>
    </w:rPr>
  </w:style>
  <w:style w:type="character" w:default="1" w:styleId="10">
    <w:name w:val="Default Paragraph Font"/>
  </w:style>
  <w:style w:type="paragraph" w:styleId="15">
    <w:name w:val="Plain Text"/>
    <w:basedOn w:val="0"/>
    <w:rPr>
      <w:rFonts w:ascii="宋体" w:cs="Courier New"/>
      <w:szCs w:val="21"/>
      <w:lang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8</TotalTime>
  <Application>Yozo_Office</Application>
  <Pages>3</Pages>
  <Words>1611</Words>
  <Characters>1709</Characters>
  <Lines>108</Lines>
  <Paragraphs>72</Paragraphs>
  <CharactersWithSpaces>1716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余诗尧</cp:lastModifiedBy>
  <cp:revision>0</cp:revision>
  <dcterms:created xsi:type="dcterms:W3CDTF">2026-08-18T09:24:00Z</dcterms:created>
  <dcterms:modified xsi:type="dcterms:W3CDTF">2026-08-28T10:11:14Z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KSOTemplateDocerSaveRecord">
    <vt:lpwstr>eyJoZGlkIjoiZDI3YTI4NTZiNzQ2MWVhYjJlMWM3OGM3ZjkzZTFlMzkiLCJ1c2VySWQiOiI0MDI5NTMwMjkifQ==</vt:lpwstr>
  </property>
  <property fmtid="{D5CDD505-2E9C-101B-9397-08002B2CF9AE}" pid="4" name="ICV">
    <vt:lpwstr>BBF71DA4B4F14A608E5E37FEDCBBCAF9_12</vt:lpwstr>
  </property>
</Properties>
</file>