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widowControl/>
        <w:jc w:val="left"/>
        <w:rPr>
          <w:rFonts w:ascii="方正仿宋简体" w:eastAsia="方正仿宋简体"/>
          <w:color w:val="000000" w:themeColor="text1"/>
          <w:sz w:val="32"/>
          <w:szCs w:val="32"/>
        </w:rPr>
      </w:pPr>
    </w:p>
    <w:p>
      <w:pPr>
        <w:jc w:val="center"/>
        <w:rPr>
          <w:rFonts w:ascii="方正小标宋简体" w:eastAsia="方正小标宋简体"/>
          <w:color w:val="000000" w:themeColor="text1"/>
          <w:sz w:val="36"/>
          <w:szCs w:val="36"/>
        </w:rPr>
      </w:pPr>
      <w:r>
        <w:rPr>
          <w:rFonts w:ascii="方正小标宋简体" w:eastAsia="方正小标宋简体" w:hint="eastAsia"/>
          <w:color w:val="000000" w:themeColor="text1"/>
          <w:sz w:val="36"/>
          <w:szCs w:val="36"/>
        </w:rPr>
        <w:t>广西出口烟花爆竹产品烟火药剂</w:t>
      </w:r>
    </w:p>
    <w:p>
      <w:pPr>
        <w:jc w:val="center"/>
        <w:rPr>
          <w:rFonts w:ascii="方正小标宋简体" w:eastAsia="方正小标宋简体"/>
          <w:color w:val="000000" w:themeColor="text1"/>
          <w:sz w:val="36"/>
          <w:szCs w:val="36"/>
        </w:rPr>
      </w:pPr>
      <w:r>
        <w:rPr>
          <w:rFonts w:ascii="方正小标宋简体" w:eastAsia="方正小标宋简体" w:hint="eastAsia"/>
          <w:color w:val="000000" w:themeColor="text1"/>
          <w:sz w:val="36"/>
          <w:szCs w:val="36"/>
        </w:rPr>
        <w:t>安全性能检测管理办法</w:t>
      </w:r>
    </w:p>
    <w:p>
      <w:pPr>
        <w:jc w:val="center"/>
        <w:rPr>
          <w:rFonts w:ascii="方正仿宋简体" w:eastAsia="方正仿宋简体"/>
          <w:color w:val="000000" w:themeColor="text1"/>
          <w:sz w:val="32"/>
          <w:szCs w:val="32"/>
        </w:rPr>
      </w:pP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第一条  为加强烟火药剂安全稳定性能检测，保障出口烟花爆竹公共安全和人身安全，根据《出口烟花爆竹检验管理办法》（海关总署第238号令修改）的规定，结合广西实际，制定本办法。</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第二条 北海海关负责广西出口烟花爆竹生产企业的烟火药剂安全稳定性能的监督检查和管理。</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第三条  广西出口烟花爆竹生产企业，每年至少1次逐类向北海海关提交出口产品经具备资质的检测单位出具的烟火药剂安全稳定性能检测报告；第一次出口时，还应提交该品种的结构示意图和烟火药剂的化学成份含量表。海关和检测单位必须对企业提供的烟火药剂的化学成份含量表等资料，予以保密。</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第四条  烟花爆竹生产企业的烟火药剂，经具备资质的检测单位进行安全稳定性能检测并取得检测合格报告后，才能投入使用。未经检测或检测不合格的不得投入出口产品使用。</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第五条  烟火药剂安全稳定性能检测不合格的，有关生产企业应改进。经改进后的烟火药剂须重新提交化学成份含</w:t>
      </w:r>
      <w:r>
        <w:rPr>
          <w:rFonts w:ascii="方正仿宋简体" w:eastAsia="方正仿宋简体" w:hint="eastAsia"/>
          <w:color w:val="000000" w:themeColor="text1"/>
          <w:sz w:val="32"/>
          <w:szCs w:val="32"/>
        </w:rPr>
        <w:lastRenderedPageBreak/>
        <w:t>量表并进行安全稳定性能检测，经检测合格后，才能投入出口产品使用。</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第六条  对出口烟花爆竹生产企业按客户提供的配方而配制的烟火药剂，需同时将权威检测部门出具的有关安全稳定性能检测报告及烟火药剂化学成份含量表一并送北海海关审核，经审核符合安全要求且在一年有效期内的可免予当年的安全稳定性能监测。否则，应按第三条规定重新提交烟火药剂安全稳定性能检测报告。</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第七条  经安全稳定性能检测合格的烟火药剂，生产企业一般不宜随意改变其配方或化学成分含量。如确需要改进或调整其配方时，经改进或调整配方后的烟火药剂，连同其化学成份含量表必须重新经具备资质的检测单位进行安全稳定性能检测合格后，才允许使用。</w:t>
      </w:r>
    </w:p>
    <w:p>
      <w:pPr>
        <w:ind w:firstLine="630"/>
        <w:rPr>
          <w:rFonts w:ascii="方正仿宋简体" w:eastAsia="方正仿宋简体"/>
          <w:dstrike/>
          <w:color w:val="000000" w:themeColor="text1"/>
          <w:sz w:val="32"/>
          <w:szCs w:val="32"/>
        </w:rPr>
      </w:pPr>
      <w:r>
        <w:rPr>
          <w:rFonts w:ascii="方正仿宋简体" w:eastAsia="方正仿宋简体" w:hint="eastAsia"/>
          <w:color w:val="000000" w:themeColor="text1"/>
          <w:sz w:val="32"/>
          <w:szCs w:val="32"/>
        </w:rPr>
        <w:t>第八条  北海海关应加强对出口烟花爆竹生产企业的烟火药剂安全稳定性能监督管理，督促生产企业定期对烟火药剂进行安全稳定性能检测；建立各出口生产企业各类烟花爆竹的烟火药剂安全稳定性能检测档案。</w:t>
      </w:r>
    </w:p>
    <w:p>
      <w:pPr>
        <w:ind w:firstLine="630"/>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第九条  </w:t>
      </w:r>
      <w:r>
        <w:rPr>
          <w:rFonts w:ascii="方正仿宋简体" w:eastAsia="方正仿宋简体"/>
          <w:color w:val="000000" w:themeColor="text1"/>
          <w:sz w:val="32"/>
          <w:szCs w:val="32"/>
        </w:rPr>
        <w:t>对违反本办法规定的，根据《中华人民共和国进出口商品检验法》及其实施条例的有关规定予以处罚。</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第十条  本办法从2001年2月1日起实施。</w:t>
      </w:r>
    </w:p>
    <w:p>
      <w:pPr>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 xml:space="preserve">    第十一条  本办法由南宁海关负责解释。</w:t>
      </w:r>
    </w:p>
    <w:sect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separator/>
      </w:r>
    </w:p>
  </w:endnote>
  <w:endnote w:type="continuationSeparator" w:id="1">
    <w:p>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separator/>
      </w:r>
    </w:p>
  </w:footnote>
  <w:footnote w:type="continuationSeparator" w:id="1">
    <w:p>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Pr>
      <w:sz w:val="18"/>
      <w:szCs w:val="18"/>
    </w:rPr>
  </w:style>
  <w:style w:type="paragraph" w:styleId="a4">
    <w:name w:val="footer"/>
    <w:basedOn w:val="a"/>
    <w:link w:val="Char0"/>
    <w:uiPriority w:val="99"/>
    <w:semiHidden/>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141</Words>
  <Characters>804</Characters>
  <Application>Microsoft Office Word</Application>
  <DocSecurity>0</DocSecurity>
  <Lines>6</Lines>
  <Paragraphs>1</Paragraphs>
  <ScaleCrop>false</ScaleCrop>
  <Company>customs</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董英(检验处/广西局)</dc:creator>
  <cp:lastModifiedBy>法制处综合(法制处/广西局)</cp:lastModifiedBy>
  <cp:revision>5</cp:revision>
  <dcterms:created xsi:type="dcterms:W3CDTF">2018-06-28T06:44:00Z</dcterms:created>
  <dcterms:modified xsi:type="dcterms:W3CDTF">2018-06-28T09:06:00Z</dcterms:modified>
</cp:coreProperties>
</file>