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hd w:val="clear" w:color="auto" w:fill="FFFFFF"/>
        <w:ind w:left="-2215"/>
        <w:jc w:val="center"/>
        <w:rPr>
          <w:rFonts w:ascii="方正小标宋_GBK" w:eastAsia="方正小标宋_GBK" w:cs="宋体" w:hint="eastAsia"/>
          <w:bCs/>
          <w:kern w:val="0"/>
          <w:sz w:val="44"/>
          <w:szCs w:val="44"/>
        </w:rPr>
      </w:pPr>
      <w:r>
        <w:rPr>
          <w:rFonts w:ascii="方正小标宋_GBK" w:eastAsia="方正小标宋_GBK" w:cs="宋体" w:hint="eastAsia"/>
          <w:bCs/>
          <w:kern w:val="0"/>
          <w:sz w:val="44"/>
          <w:szCs w:val="44"/>
          <w:lang w:val="en-US" w:eastAsia="zh-CN"/>
        </w:rPr>
        <w:t xml:space="preserve">        凭祥海关要求企业接受的第三方服务事项清单</w:t>
      </w:r>
    </w:p>
    <w:p>
      <w:pPr>
        <w:widowControl/>
        <w:shd w:val="clear" w:color="auto" w:fill="FFFFFF"/>
        <w:spacing w:line="360" w:lineRule="exact"/>
        <w:ind w:left="-2217"/>
        <w:jc w:val="center"/>
        <w:rPr>
          <w:rFonts w:ascii="方正小标宋_GBK" w:eastAsia="方正小标宋_GBK" w:cs="宋体" w:hint="eastAsia"/>
          <w:bCs/>
          <w:kern w:val="0"/>
          <w:sz w:val="44"/>
          <w:szCs w:val="44"/>
        </w:rPr>
      </w:pPr>
    </w:p>
    <w:tbl>
      <w:tblPr>
        <w:jc w:val="left"/>
        <w:tblInd w:w="0" w:type="dxa"/>
        <w:tblW w:w="13471" w:type="dxa"/>
        <w:tblBorders>
          <w:top w:val="outset" w:sz="6" w:space="0" w:color="auto"/>
          <w:left w:val="outset" w:sz="6" w:space="0" w:color="auto"/>
          <w:bottom w:val="outset" w:sz="6" w:space="0" w:color="auto"/>
          <w:right w:val="outset" w:sz="6" w:space="0" w:color="auto"/>
        </w:tblBorders>
        <w:tblLayout w:type="fixed"/>
        <w:tblCellMar>
          <w:top w:w="0" w:type="dxa"/>
          <w:left w:w="0" w:type="dxa"/>
          <w:bottom w:w="0" w:type="dxa"/>
          <w:right w:w="0" w:type="dxa"/>
        </w:tblCellMar>
      </w:tblPr>
      <w:tblGrid>
        <w:gridCol w:w="575"/>
        <w:gridCol w:w="2613"/>
        <w:gridCol w:w="10283"/>
      </w:tblGrid>
      <w:tr>
        <w:trPr>
          <w:trHeight w:val="264"/>
        </w:trPr>
        <w:tc>
          <w:tcPr>
            <w:tcW w:w="575" w:type="dxa"/>
            <w:tcBorders>
              <w:top w:val="single" w:sz="6" w:space="0" w:color="auto"/>
              <w:left w:val="single" w:sz="6" w:space="0" w:color="auto"/>
              <w:bottom w:val="single" w:sz="6" w:space="0" w:color="auto"/>
              <w:right w:val="single" w:sz="6" w:space="0" w:color="auto"/>
            </w:tcBorders>
            <w:vAlign w:val="center"/>
          </w:tcPr>
          <w:p>
            <w:pPr>
              <w:widowControl/>
              <w:spacing w:line="400" w:lineRule="exact"/>
              <w:jc w:val="center"/>
              <w:rPr>
                <w:rFonts w:ascii="Times New Roman" w:eastAsia="方正黑体_GBK" w:cs="Times New Roman" w:hAnsi="Times New Roman"/>
                <w:kern w:val="0"/>
                <w:sz w:val="24"/>
                <w:szCs w:val="24"/>
              </w:rPr>
            </w:pPr>
            <w:r>
              <w:rPr>
                <w:rFonts w:ascii="Times New Roman" w:eastAsia="方正黑体_GBK" w:cs="Times New Roman" w:hAnsi="Times New Roman"/>
                <w:kern w:val="0"/>
                <w:sz w:val="24"/>
                <w:szCs w:val="24"/>
              </w:rPr>
              <w:t>序号</w:t>
            </w:r>
          </w:p>
        </w:tc>
        <w:tc>
          <w:tcPr>
            <w:tcW w:w="2613" w:type="dxa"/>
            <w:tcBorders>
              <w:top w:val="single" w:sz="6" w:space="0" w:color="auto"/>
              <w:left w:val="outset" w:sz="6" w:space="0" w:color="auto"/>
              <w:bottom w:val="single" w:sz="6" w:space="0" w:color="auto"/>
              <w:right w:val="single" w:sz="6" w:space="0" w:color="auto"/>
            </w:tcBorders>
            <w:vAlign w:val="center"/>
          </w:tcPr>
          <w:p>
            <w:pPr>
              <w:widowControl/>
              <w:spacing w:line="400" w:lineRule="exact"/>
              <w:jc w:val="center"/>
              <w:rPr>
                <w:rFonts w:ascii="Times New Roman" w:eastAsia="方正黑体_GBK" w:cs="Times New Roman" w:hAnsi="Times New Roman"/>
                <w:kern w:val="0"/>
                <w:sz w:val="24"/>
                <w:szCs w:val="24"/>
              </w:rPr>
            </w:pPr>
            <w:r>
              <w:rPr>
                <w:rFonts w:ascii="Times New Roman" w:eastAsia="方正黑体_GBK" w:cs="Times New Roman" w:hAnsi="Times New Roman" w:hint="eastAsia"/>
                <w:kern w:val="0"/>
                <w:sz w:val="24"/>
                <w:szCs w:val="24"/>
                <w:lang w:val="en-US" w:eastAsia="zh-CN"/>
              </w:rPr>
              <w:t>服务</w:t>
            </w:r>
            <w:r>
              <w:rPr>
                <w:rFonts w:ascii="Times New Roman" w:eastAsia="方正黑体_GBK" w:cs="Times New Roman" w:hAnsi="Times New Roman"/>
                <w:kern w:val="0"/>
                <w:sz w:val="24"/>
                <w:szCs w:val="24"/>
              </w:rPr>
              <w:t>事项名称</w:t>
            </w:r>
          </w:p>
        </w:tc>
        <w:tc>
          <w:tcPr>
            <w:tcW w:w="10283" w:type="dxa"/>
            <w:tcBorders>
              <w:top w:val="single" w:sz="6" w:space="0" w:color="auto"/>
              <w:left w:val="outset" w:sz="6" w:space="0" w:color="auto"/>
              <w:bottom w:val="single" w:sz="6" w:space="0" w:color="auto"/>
              <w:right w:val="single" w:sz="6" w:space="0" w:color="auto"/>
            </w:tcBorders>
            <w:vAlign w:val="center"/>
          </w:tcPr>
          <w:p>
            <w:pPr>
              <w:widowControl/>
              <w:spacing w:line="400" w:lineRule="exact"/>
              <w:jc w:val="center"/>
              <w:rPr>
                <w:rFonts w:ascii="Times New Roman" w:eastAsia="方正黑体_GBK" w:cs="Times New Roman" w:hAnsi="Times New Roman"/>
                <w:kern w:val="0"/>
                <w:sz w:val="24"/>
                <w:szCs w:val="24"/>
              </w:rPr>
            </w:pPr>
            <w:r>
              <w:rPr>
                <w:rFonts w:ascii="Times New Roman" w:eastAsia="方正黑体_GBK" w:cs="Times New Roman" w:hAnsi="Times New Roman" w:hint="eastAsia"/>
                <w:kern w:val="0"/>
                <w:sz w:val="24"/>
                <w:szCs w:val="24"/>
                <w:lang w:val="en-US" w:eastAsia="zh-CN"/>
              </w:rPr>
              <w:t>政策</w:t>
            </w:r>
            <w:r>
              <w:rPr>
                <w:rFonts w:ascii="Times New Roman" w:eastAsia="方正黑体_GBK" w:cs="Times New Roman" w:hAnsi="Times New Roman"/>
                <w:kern w:val="0"/>
                <w:sz w:val="24"/>
                <w:szCs w:val="24"/>
              </w:rPr>
              <w:t>依据</w:t>
            </w:r>
          </w:p>
        </w:tc>
      </w:tr>
      <w:tr>
        <w:trPr>
          <w:trHeight w:val="444"/>
        </w:trPr>
        <w:tc>
          <w:tcPr>
            <w:tcW w:w="575" w:type="dxa"/>
            <w:tcBorders>
              <w:top w:val="outset" w:sz="6" w:space="0" w:color="auto"/>
              <w:left w:val="single" w:sz="6" w:space="0" w:color="auto"/>
              <w:bottom w:val="single" w:sz="6" w:space="0" w:color="auto"/>
              <w:right w:val="single" w:sz="6" w:space="0" w:color="auto"/>
            </w:tcBorders>
            <w:vAlign w:val="center"/>
          </w:tcPr>
          <w:p>
            <w:pPr>
              <w:widowControl/>
              <w:spacing w:line="400" w:lineRule="exact"/>
              <w:jc w:val="center"/>
              <w:rPr>
                <w:rFonts w:ascii="Times New Roman" w:eastAsia="方正仿宋_GBK" w:cs="Times New Roman" w:hAnsi="Times New Roman"/>
                <w:kern w:val="0"/>
                <w:sz w:val="24"/>
                <w:szCs w:val="24"/>
                <w:highlight w:val="auto"/>
              </w:rPr>
            </w:pPr>
            <w:r>
              <w:rPr>
                <w:rFonts w:ascii="Times New Roman" w:eastAsia="方正仿宋_GBK" w:cs="Times New Roman" w:hAnsi="Times New Roman"/>
                <w:kern w:val="0"/>
                <w:sz w:val="24"/>
                <w:szCs w:val="24"/>
                <w:highlight w:val="auto"/>
              </w:rPr>
              <w:t>1</w:t>
            </w:r>
          </w:p>
        </w:tc>
        <w:tc>
          <w:tcPr>
            <w:tcW w:w="2613" w:type="dxa"/>
            <w:tcBorders>
              <w:top w:val="outset" w:sz="6" w:space="0" w:color="auto"/>
              <w:left w:val="outset" w:sz="6" w:space="0" w:color="auto"/>
              <w:bottom w:val="single" w:sz="6" w:space="0" w:color="auto"/>
              <w:right w:val="single" w:sz="6" w:space="0" w:color="auto"/>
            </w:tcBorders>
            <w:vAlign w:val="center"/>
          </w:tcPr>
          <w:p>
            <w:pPr>
              <w:widowControl/>
              <w:spacing w:line="400" w:lineRule="exact"/>
              <w:jc w:val="center"/>
              <w:rPr>
                <w:rFonts w:ascii="Times New Roman" w:eastAsia="方正仿宋_GBK" w:cs="Times New Roman" w:hAnsi="Times New Roman"/>
                <w:kern w:val="0"/>
                <w:sz w:val="24"/>
                <w:szCs w:val="24"/>
                <w:highlight w:val="auto"/>
              </w:rPr>
            </w:pPr>
            <w:r>
              <w:rPr>
                <w:rFonts w:ascii="Times New Roman" w:eastAsia="方正仿宋_GBK" w:cs="Times New Roman" w:hAnsi="Times New Roman" w:hint="eastAsia"/>
                <w:kern w:val="0"/>
                <w:sz w:val="24"/>
                <w:szCs w:val="24"/>
                <w:highlight w:val="auto"/>
              </w:rPr>
              <w:t>检疫处理</w:t>
            </w:r>
          </w:p>
        </w:tc>
        <w:tc>
          <w:tcPr>
            <w:tcW w:w="10283" w:type="dxa"/>
            <w:tcBorders>
              <w:top w:val="outset" w:sz="6" w:space="0" w:color="auto"/>
              <w:left w:val="outset" w:sz="6" w:space="0" w:color="auto"/>
              <w:bottom w:val="single" w:sz="6" w:space="0" w:color="auto"/>
              <w:right w:val="single" w:sz="6" w:space="0" w:color="auto"/>
            </w:tcBorders>
            <w:vAlign w:val="center"/>
          </w:tcPr>
          <w:p>
            <w:pPr>
              <w:widowControl/>
              <w:spacing w:line="400" w:lineRule="exact"/>
              <w:jc w:val="left"/>
              <w:rPr>
                <w:rFonts w:ascii="Times New Roman" w:eastAsia="方正仿宋_GBK" w:cs="Times New Roman" w:hAnsi="Times New Roman" w:hint="eastAsia"/>
                <w:kern w:val="0"/>
                <w:sz w:val="24"/>
                <w:szCs w:val="24"/>
                <w:highlight w:val="auto"/>
              </w:rPr>
            </w:pPr>
            <w:r>
              <w:rPr>
                <w:rFonts w:ascii="Times New Roman" w:eastAsia="方正仿宋_GBK" w:cs="Times New Roman" w:hAnsi="Times New Roman" w:hint="eastAsia"/>
                <w:kern w:val="0"/>
                <w:sz w:val="24"/>
                <w:szCs w:val="24"/>
                <w:highlight w:val="auto"/>
              </w:rPr>
              <w:t>1.《中华人民共和国进出境动植物检疫法》</w:t>
            </w:r>
          </w:p>
          <w:p>
            <w:pPr>
              <w:widowControl/>
              <w:spacing w:line="400" w:lineRule="exact"/>
              <w:jc w:val="left"/>
              <w:rPr>
                <w:rFonts w:ascii="Times New Roman" w:eastAsia="方正仿宋_GBK" w:cs="Times New Roman" w:hAnsi="Times New Roman" w:hint="eastAsia"/>
                <w:kern w:val="0"/>
                <w:sz w:val="24"/>
                <w:szCs w:val="24"/>
                <w:highlight w:val="auto"/>
              </w:rPr>
            </w:pPr>
            <w:r>
              <w:rPr>
                <w:rFonts w:ascii="Times New Roman" w:eastAsia="方正仿宋_GBK" w:cs="Times New Roman" w:hAnsi="Times New Roman" w:hint="eastAsia"/>
                <w:kern w:val="0"/>
                <w:sz w:val="24"/>
                <w:szCs w:val="24"/>
                <w:highlight w:val="auto"/>
              </w:rPr>
              <w:t>2.《中华人民共和国国境卫生检疫法》</w:t>
            </w:r>
          </w:p>
          <w:p>
            <w:pPr>
              <w:widowControl/>
              <w:spacing w:line="400" w:lineRule="exact"/>
              <w:jc w:val="left"/>
              <w:rPr>
                <w:rFonts w:ascii="Times New Roman" w:eastAsia="方正仿宋_GBK" w:cs="Times New Roman" w:hAnsi="Times New Roman"/>
                <w:kern w:val="0"/>
                <w:sz w:val="24"/>
                <w:szCs w:val="24"/>
                <w:highlight w:val="auto"/>
              </w:rPr>
            </w:pPr>
            <w:r>
              <w:rPr>
                <w:rFonts w:ascii="Times New Roman" w:eastAsia="方正仿宋_GBK" w:cs="Times New Roman" w:hAnsi="Times New Roman" w:hint="eastAsia"/>
                <w:kern w:val="0"/>
                <w:sz w:val="24"/>
                <w:szCs w:val="24"/>
                <w:highlight w:val="auto"/>
              </w:rPr>
              <w:t>3.《进出境粮食检验检疫监督管理办法》（原质检总局令第177号公布，根据海关总署令第238号和第240号修改）</w:t>
            </w:r>
          </w:p>
        </w:tc>
      </w:tr>
      <w:tr>
        <w:trPr>
          <w:trHeight w:val="444"/>
        </w:trPr>
        <w:tc>
          <w:tcPr>
            <w:tcW w:w="575" w:type="dxa"/>
            <w:tcBorders>
              <w:top w:val="outset" w:sz="6" w:space="0" w:color="auto"/>
              <w:left w:val="single" w:sz="6" w:space="0" w:color="auto"/>
              <w:bottom w:val="single" w:sz="6" w:space="0" w:color="auto"/>
              <w:right w:val="single" w:sz="6" w:space="0" w:color="auto"/>
            </w:tcBorders>
            <w:vAlign w:val="center"/>
          </w:tcPr>
          <w:p>
            <w:pPr>
              <w:widowControl/>
              <w:spacing w:line="400" w:lineRule="exact"/>
              <w:jc w:val="center"/>
              <w:rPr>
                <w:rFonts w:ascii="Times New Roman" w:eastAsia="方正仿宋_GBK" w:cs="Times New Roman" w:hAnsi="Times New Roman"/>
                <w:kern w:val="0"/>
                <w:sz w:val="24"/>
                <w:szCs w:val="24"/>
                <w:highlight w:val="auto"/>
              </w:rPr>
            </w:pPr>
            <w:r>
              <w:rPr>
                <w:rFonts w:ascii="Times New Roman" w:eastAsia="方正仿宋_GBK" w:cs="Times New Roman" w:hAnsi="Times New Roman" w:hint="eastAsia"/>
                <w:kern w:val="0"/>
                <w:sz w:val="24"/>
                <w:szCs w:val="24"/>
                <w:highlight w:val="auto"/>
              </w:rPr>
              <w:t>2</w:t>
            </w:r>
          </w:p>
        </w:tc>
        <w:tc>
          <w:tcPr>
            <w:tcW w:w="2613" w:type="dxa"/>
            <w:tcBorders>
              <w:top w:val="outset" w:sz="6" w:space="0" w:color="auto"/>
              <w:left w:val="outset" w:sz="6" w:space="0" w:color="auto"/>
              <w:bottom w:val="single" w:sz="6" w:space="0" w:color="auto"/>
              <w:right w:val="single" w:sz="6" w:space="0" w:color="auto"/>
            </w:tcBorders>
            <w:vAlign w:val="center"/>
          </w:tcPr>
          <w:p>
            <w:pPr>
              <w:widowControl/>
              <w:spacing w:line="400" w:lineRule="exact"/>
              <w:jc w:val="center"/>
              <w:rPr>
                <w:rFonts w:ascii="Times New Roman" w:eastAsia="方正仿宋_GBK" w:cs="Times New Roman" w:hAnsi="Times New Roman"/>
                <w:kern w:val="0"/>
                <w:sz w:val="24"/>
                <w:szCs w:val="24"/>
                <w:highlight w:val="auto"/>
              </w:rPr>
            </w:pPr>
            <w:r>
              <w:rPr>
                <w:rFonts w:ascii="Times New Roman" w:eastAsia="方正仿宋_GBK" w:cs="Times New Roman" w:hAnsi="Times New Roman" w:hint="eastAsia"/>
                <w:kern w:val="0"/>
                <w:sz w:val="24"/>
                <w:szCs w:val="24"/>
                <w:highlight w:val="auto"/>
              </w:rPr>
              <w:t>装运前检验</w:t>
            </w:r>
          </w:p>
        </w:tc>
        <w:tc>
          <w:tcPr>
            <w:tcW w:w="10283" w:type="dxa"/>
            <w:tcBorders>
              <w:top w:val="outset" w:sz="6" w:space="0" w:color="auto"/>
              <w:left w:val="outset" w:sz="6" w:space="0" w:color="auto"/>
              <w:bottom w:val="single" w:sz="6" w:space="0" w:color="auto"/>
              <w:right w:val="single" w:sz="6" w:space="0" w:color="auto"/>
            </w:tcBorders>
            <w:vAlign w:val="center"/>
          </w:tcPr>
          <w:p>
            <w:pPr>
              <w:widowControl/>
              <w:spacing w:line="400" w:lineRule="exact"/>
              <w:jc w:val="left"/>
              <w:rPr>
                <w:rFonts w:ascii="Times New Roman" w:eastAsia="方正仿宋_GBK" w:cs="Times New Roman" w:hAnsi="Times New Roman" w:hint="eastAsia"/>
                <w:kern w:val="0"/>
                <w:sz w:val="24"/>
                <w:szCs w:val="24"/>
                <w:highlight w:val="auto"/>
              </w:rPr>
            </w:pPr>
            <w:r>
              <w:rPr>
                <w:rFonts w:ascii="Times New Roman" w:eastAsia="方正仿宋_GBK" w:cs="Times New Roman" w:hAnsi="Times New Roman" w:hint="eastAsia"/>
                <w:kern w:val="0"/>
                <w:sz w:val="24"/>
                <w:szCs w:val="24"/>
                <w:highlight w:val="auto"/>
              </w:rPr>
              <w:t>1.《中华人民共和国进出口商品检验法实施条例（2019年修订）》</w:t>
            </w:r>
          </w:p>
          <w:p>
            <w:pPr>
              <w:widowControl/>
              <w:spacing w:line="400" w:lineRule="exact"/>
              <w:jc w:val="left"/>
              <w:rPr>
                <w:rFonts w:ascii="Times New Roman" w:eastAsia="方正仿宋_GBK" w:cs="Times New Roman" w:hAnsi="Times New Roman" w:hint="eastAsia"/>
                <w:kern w:val="0"/>
                <w:sz w:val="24"/>
                <w:szCs w:val="24"/>
                <w:highlight w:val="auto"/>
              </w:rPr>
            </w:pPr>
            <w:r>
              <w:rPr>
                <w:rFonts w:ascii="Times New Roman" w:eastAsia="方正仿宋_GBK" w:cs="Times New Roman" w:hAnsi="Times New Roman" w:hint="eastAsia"/>
                <w:kern w:val="0"/>
                <w:sz w:val="24"/>
                <w:szCs w:val="24"/>
                <w:highlight w:val="auto"/>
              </w:rPr>
              <w:t>2.《国务院办公厅关于印发禁止洋垃圾入境推进固体废物进口管理制度改革实施方案的通知》（国办发〔2017〕70号）</w:t>
            </w:r>
          </w:p>
          <w:p>
            <w:pPr>
              <w:widowControl/>
              <w:spacing w:line="400" w:lineRule="exact"/>
              <w:jc w:val="left"/>
              <w:rPr>
                <w:rFonts w:ascii="Times New Roman" w:eastAsia="方正仿宋_GBK" w:cs="Times New Roman" w:hAnsi="Times New Roman" w:hint="eastAsia"/>
                <w:kern w:val="0"/>
                <w:sz w:val="24"/>
                <w:szCs w:val="24"/>
                <w:highlight w:val="auto"/>
              </w:rPr>
            </w:pPr>
            <w:r>
              <w:rPr>
                <w:rFonts w:ascii="Times New Roman" w:eastAsia="方正仿宋_GBK" w:cs="Times New Roman" w:hAnsi="Times New Roman" w:hint="eastAsia"/>
                <w:kern w:val="0"/>
                <w:sz w:val="24"/>
                <w:szCs w:val="24"/>
                <w:highlight w:val="auto"/>
              </w:rPr>
              <w:t>3.《进口旧机电产品检验监督管理办法》（原质检总局令第171号公布，根据原质检总局令第187号修改，根据海关总署令第238、第240和第243号修改）</w:t>
            </w:r>
          </w:p>
          <w:p>
            <w:pPr>
              <w:widowControl/>
              <w:spacing w:line="400" w:lineRule="exact"/>
              <w:jc w:val="left"/>
              <w:rPr>
                <w:rFonts w:ascii="Times New Roman" w:eastAsia="方正仿宋_GBK" w:cs="Times New Roman" w:hAnsi="Times New Roman"/>
                <w:kern w:val="0"/>
                <w:sz w:val="24"/>
                <w:szCs w:val="24"/>
                <w:highlight w:val="auto"/>
              </w:rPr>
            </w:pPr>
            <w:r>
              <w:rPr>
                <w:rFonts w:ascii="Times New Roman" w:eastAsia="方正仿宋_GBK" w:cs="Times New Roman" w:hAnsi="Times New Roman" w:hint="eastAsia"/>
                <w:kern w:val="0"/>
                <w:sz w:val="24"/>
                <w:szCs w:val="24"/>
                <w:highlight w:val="auto"/>
              </w:rPr>
              <w:t>4.《进口旧机电产品装运前检验监督管理实施细则》（海关总署公告〔2020〕第127号）</w:t>
            </w:r>
          </w:p>
        </w:tc>
      </w:tr>
      <w:tr>
        <w:trPr>
          <w:trHeight w:val="90"/>
        </w:trPr>
        <w:tc>
          <w:tcPr>
            <w:tcW w:w="575" w:type="dxa"/>
            <w:tcBorders>
              <w:top w:val="outset" w:sz="6" w:space="0" w:color="auto"/>
              <w:left w:val="single" w:sz="6" w:space="0" w:color="auto"/>
              <w:bottom w:val="outset" w:sz="6" w:space="0" w:color="auto"/>
              <w:right w:val="single" w:sz="6" w:space="0" w:color="auto"/>
            </w:tcBorders>
            <w:vAlign w:val="center"/>
          </w:tcPr>
          <w:p>
            <w:pPr>
              <w:widowControl/>
              <w:spacing w:line="400" w:lineRule="exact"/>
              <w:jc w:val="center"/>
              <w:rPr>
                <w:rFonts w:ascii="Times New Roman" w:eastAsia="方正仿宋_GBK" w:cs="Times New Roman" w:hAnsi="Times New Roman" w:hint="eastAsia"/>
                <w:kern w:val="0"/>
                <w:sz w:val="24"/>
                <w:szCs w:val="24"/>
                <w:lang w:eastAsia="zh-CN"/>
                <w:highlight w:val="auto"/>
              </w:rPr>
            </w:pPr>
            <w:r>
              <w:rPr>
                <w:rFonts w:ascii="Times New Roman" w:eastAsia="方正仿宋_GBK" w:cs="Times New Roman" w:hAnsi="Times New Roman" w:hint="eastAsia"/>
                <w:kern w:val="0"/>
                <w:sz w:val="24"/>
                <w:szCs w:val="24"/>
                <w:lang w:val="en-US" w:eastAsia="zh-CN"/>
                <w:highlight w:val="auto"/>
              </w:rPr>
              <w:t>3</w:t>
            </w:r>
          </w:p>
        </w:tc>
        <w:tc>
          <w:tcPr>
            <w:tcW w:w="2613" w:type="dxa"/>
            <w:tcBorders>
              <w:top w:val="outset" w:sz="6" w:space="0" w:color="auto"/>
              <w:left w:val="outset" w:sz="6" w:space="0" w:color="auto"/>
              <w:bottom w:val="outset" w:sz="6" w:space="0" w:color="auto"/>
              <w:right w:val="single" w:sz="6" w:space="0" w:color="auto"/>
            </w:tcBorders>
            <w:vAlign w:val="center"/>
          </w:tcPr>
          <w:p>
            <w:pPr>
              <w:widowControl/>
              <w:spacing w:line="400" w:lineRule="exact"/>
              <w:jc w:val="center"/>
              <w:rPr>
                <w:rFonts w:ascii="Times New Roman" w:eastAsia="方正仿宋_GBK" w:cs="Times New Roman" w:hAnsi="Times New Roman"/>
                <w:kern w:val="0"/>
                <w:sz w:val="24"/>
                <w:szCs w:val="24"/>
                <w:highlight w:val="auto"/>
              </w:rPr>
            </w:pPr>
            <w:r>
              <w:rPr>
                <w:rFonts w:ascii="Times New Roman" w:eastAsia="方正仿宋_GBK" w:cs="Times New Roman" w:hAnsi="Times New Roman" w:hint="eastAsia"/>
                <w:kern w:val="0"/>
                <w:sz w:val="24"/>
                <w:szCs w:val="24"/>
                <w:highlight w:val="auto"/>
              </w:rPr>
              <w:t>出口危险化学品危险特性分类鉴别、危险公示标签、安全数据单样本</w:t>
            </w:r>
          </w:p>
        </w:tc>
        <w:tc>
          <w:tcPr>
            <w:tcW w:w="10283" w:type="dxa"/>
            <w:tcBorders>
              <w:top w:val="outset" w:sz="6" w:space="0" w:color="auto"/>
              <w:left w:val="outset" w:sz="6" w:space="0" w:color="auto"/>
              <w:bottom w:val="outset" w:sz="6" w:space="0" w:color="auto"/>
              <w:right w:val="single" w:sz="6" w:space="0" w:color="auto"/>
            </w:tcBorders>
            <w:vAlign w:val="center"/>
          </w:tcPr>
          <w:p>
            <w:pPr>
              <w:widowControl/>
              <w:spacing w:line="400" w:lineRule="exact"/>
              <w:jc w:val="left"/>
              <w:rPr>
                <w:rFonts w:ascii="Times New Roman" w:eastAsia="方正仿宋_GBK" w:cs="Times New Roman" w:hAnsi="Times New Roman" w:hint="eastAsia"/>
                <w:kern w:val="0"/>
                <w:sz w:val="24"/>
                <w:szCs w:val="24"/>
                <w:highlight w:val="auto"/>
              </w:rPr>
            </w:pPr>
            <w:r>
              <w:rPr>
                <w:rFonts w:ascii="Times New Roman" w:eastAsia="方正仿宋_GBK" w:cs="Times New Roman" w:hAnsi="Times New Roman" w:hint="eastAsia"/>
                <w:kern w:val="0"/>
                <w:sz w:val="24"/>
                <w:szCs w:val="24"/>
                <w:highlight w:val="auto"/>
              </w:rPr>
              <w:t>1.《危险化学品安全管理条例》（国务院令第591号）</w:t>
            </w:r>
          </w:p>
          <w:p>
            <w:pPr>
              <w:widowControl/>
              <w:spacing w:line="400" w:lineRule="exact"/>
              <w:jc w:val="left"/>
              <w:rPr>
                <w:rFonts w:ascii="Times New Roman" w:eastAsia="方正仿宋_GBK" w:cs="Times New Roman" w:hAnsi="Times New Roman"/>
                <w:kern w:val="0"/>
                <w:sz w:val="24"/>
                <w:szCs w:val="24"/>
                <w:highlight w:val="auto"/>
              </w:rPr>
            </w:pPr>
            <w:r>
              <w:rPr>
                <w:rFonts w:ascii="Times New Roman" w:eastAsia="方正仿宋_GBK" w:cs="Times New Roman" w:hAnsi="Times New Roman" w:hint="eastAsia"/>
                <w:kern w:val="0"/>
                <w:sz w:val="24"/>
                <w:szCs w:val="24"/>
                <w:highlight w:val="auto"/>
              </w:rPr>
              <w:t>2.《关于进出口危险化学品及其包装检验监管有关问题的公告》（海关总署2020年公告第129号）</w:t>
            </w:r>
          </w:p>
        </w:tc>
      </w:tr>
      <w:tr>
        <w:trPr>
          <w:trHeight w:val="90"/>
        </w:trPr>
        <w:tc>
          <w:tcPr>
            <w:tcW w:w="575" w:type="dxa"/>
            <w:tcBorders>
              <w:top w:val="outset" w:sz="6" w:space="0" w:color="auto"/>
              <w:left w:val="single" w:sz="6" w:space="0" w:color="auto"/>
              <w:bottom w:val="single" w:sz="6" w:space="0" w:color="auto"/>
              <w:right w:val="single" w:sz="6" w:space="0" w:color="auto"/>
            </w:tcBorders>
            <w:vAlign w:val="center"/>
          </w:tcPr>
          <w:p>
            <w:pPr>
              <w:widowControl/>
              <w:spacing w:line="400" w:lineRule="exact"/>
              <w:jc w:val="center"/>
              <w:rPr>
                <w:rFonts w:ascii="Times New Roman" w:eastAsia="方正仿宋_GBK" w:cs="Times New Roman" w:hAnsi="Times New Roman"/>
                <w:kern w:val="0"/>
                <w:sz w:val="24"/>
                <w:szCs w:val="24"/>
                <w:lang w:val="en-US" w:eastAsia="zh-CN"/>
                <w:highlight w:val="auto"/>
              </w:rPr>
            </w:pPr>
            <w:r>
              <w:rPr>
                <w:rFonts w:ascii="Times New Roman" w:eastAsia="方正仿宋_GBK" w:cs="Times New Roman" w:hAnsi="Times New Roman" w:hint="eastAsia"/>
                <w:kern w:val="0"/>
                <w:sz w:val="24"/>
                <w:szCs w:val="24"/>
                <w:lang w:val="en-US" w:eastAsia="zh-CN"/>
                <w:highlight w:val="auto"/>
              </w:rPr>
              <w:t>4</w:t>
            </w:r>
          </w:p>
        </w:tc>
        <w:tc>
          <w:tcPr>
            <w:tcW w:w="2613" w:type="dxa"/>
            <w:tcBorders>
              <w:top w:val="outset" w:sz="6" w:space="0" w:color="auto"/>
              <w:left w:val="outset" w:sz="6" w:space="0" w:color="auto"/>
              <w:bottom w:val="single" w:sz="6" w:space="0" w:color="auto"/>
              <w:right w:val="single" w:sz="6" w:space="0" w:color="auto"/>
            </w:tcBorders>
            <w:vAlign w:val="center"/>
          </w:tcPr>
          <w:p>
            <w:pPr>
              <w:widowControl/>
              <w:spacing w:line="400" w:lineRule="exact"/>
              <w:jc w:val="center"/>
              <w:rPr>
                <w:rFonts w:ascii="Times New Roman" w:eastAsia="方正仿宋_GBK" w:cs="Times New Roman" w:hAnsi="Times New Roman" w:hint="eastAsia"/>
                <w:kern w:val="0"/>
                <w:sz w:val="24"/>
                <w:szCs w:val="24"/>
                <w:highlight w:val="auto"/>
              </w:rPr>
            </w:pPr>
            <w:r>
              <w:rPr>
                <w:rFonts w:ascii="Times New Roman" w:eastAsia="方正仿宋_GBK" w:cs="Times New Roman" w:hAnsi="Times New Roman" w:hint="eastAsia"/>
                <w:kern w:val="0"/>
                <w:sz w:val="24"/>
                <w:szCs w:val="24"/>
                <w:highlight w:val="auto"/>
              </w:rPr>
              <w:t>审计报告</w:t>
            </w:r>
          </w:p>
        </w:tc>
        <w:tc>
          <w:tcPr>
            <w:tcW w:w="10283" w:type="dxa"/>
            <w:tcBorders>
              <w:top w:val="outset" w:sz="6" w:space="0" w:color="auto"/>
              <w:left w:val="outset" w:sz="6" w:space="0" w:color="auto"/>
              <w:bottom w:val="single" w:sz="6" w:space="0" w:color="auto"/>
              <w:right w:val="single" w:sz="6" w:space="0" w:color="auto"/>
            </w:tcBorders>
            <w:vAlign w:val="center"/>
          </w:tcPr>
          <w:p>
            <w:pPr>
              <w:widowControl/>
              <w:spacing w:line="400" w:lineRule="exact"/>
              <w:jc w:val="left"/>
              <w:rPr>
                <w:rFonts w:ascii="Times New Roman" w:eastAsia="方正仿宋_GBK" w:cs="Times New Roman" w:hAnsi="Times New Roman" w:hint="eastAsia"/>
                <w:kern w:val="0"/>
                <w:sz w:val="24"/>
                <w:szCs w:val="24"/>
                <w:highlight w:val="auto"/>
              </w:rPr>
            </w:pPr>
            <w:r>
              <w:rPr>
                <w:rFonts w:ascii="Times New Roman" w:eastAsia="方正仿宋_GBK" w:cs="Times New Roman" w:hAnsi="Times New Roman" w:hint="eastAsia"/>
                <w:kern w:val="0"/>
                <w:sz w:val="24"/>
                <w:szCs w:val="24"/>
                <w:highlight w:val="auto"/>
              </w:rPr>
              <w:t>《海关总署关于发布〈海关高级认证企业标准〉的公告》海关总署公告2022年第106号</w:t>
            </w:r>
            <w:bookmarkStart w:id="0" w:name="_GoBack"/>
            <w:bookmarkEnd w:id="0"/>
          </w:p>
        </w:tc>
      </w:tr>
    </w:tbl>
    <w:p/>
    <w:sectPr>
      <w:pgSz w:w="16838" w:h="11906" w:orient="landscape"/>
      <w:pgMar w:top="1800" w:right="1440" w:bottom="1800"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3000509000000000000"/>
    <w:charset w:val="86"/>
    <w:family w:val="script"/>
    <w:pitch w:val="variable"/>
    <w:sig w:usb0="00000000" w:usb1="00000000" w:usb2="00000010" w:usb3="00000000" w:csb0="00040000" w:csb1="00000000"/>
  </w:font>
  <w:font w:name="宋体">
    <w:panose1 w:val="02010600030101010101"/>
    <w:charset w:val="86"/>
    <w:family w:val="auto"/>
    <w:pitch w:val="variable"/>
    <w:sig w:usb0="000002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方正黑体_GBK">
    <w:altName w:val="微软雅黑"/>
    <w:panose1 w:val="03000509000000000000"/>
    <w:charset w:val="86"/>
    <w:family w:val="script"/>
    <w:pitch w:val="variable"/>
    <w:sig w:usb0="00000000" w:usb1="00000000" w:usb2="00000010" w:usb3="00000000" w:csb0="00040000" w:csb1="00000000"/>
  </w:font>
  <w:font w:name="方正仿宋_GBK">
    <w:altName w:val="微软雅黑"/>
    <w:panose1 w:val="03000509000000000000"/>
    <w:charset w:val="86"/>
    <w:family w:val="script"/>
    <w:pitch w:val="variable"/>
    <w:sig w:usb0="00000000" w:usb1="00000000" w:usb2="00000010" w:usb3="00000000" w:csb0="00040000"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1"/>
    <w:family w:val="swiss"/>
    <w:pitch w:val="variable"/>
    <w:sig w:usb0="E0002EFF" w:usb1="C000785B"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2">
    <w:name w:val="heading 2"/>
    <w:basedOn w:val="0"/>
    <w:pPr>
      <w:widowControl/>
      <w:spacing w:before="100" w:beforeAutospacing="1" w:after="100" w:afterAutospacing="1"/>
      <w:jc w:val="left"/>
      <w:outlineLvl w:val="1"/>
    </w:pPr>
    <w:rPr>
      <w:rFonts w:ascii="宋体" w:eastAsia="宋体" w:cs="宋体"/>
      <w:b/>
      <w:bCs/>
      <w:kern w:val="0"/>
      <w:sz w:val="36"/>
      <w:szCs w:val="36"/>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widowControl/>
      <w:spacing w:before="100" w:beforeAutospacing="1" w:after="100" w:afterAutospacing="1"/>
      <w:jc w:val="left"/>
    </w:pPr>
    <w:rPr>
      <w:rFonts w:ascii="宋体" w:eastAsia="宋体" w:cs="宋体"/>
      <w:kern w:val="0"/>
      <w:sz w:val="24"/>
      <w:szCs w:val="24"/>
    </w:rPr>
  </w:style>
  <w:style w:type="character" w:styleId="18">
    <w:name w:val="Strong"/>
    <w:basedOn w:val="10"/>
    <w:rPr>
      <w:b/>
    </w:rPr>
  </w:style>
  <w:style w:type="paragraph" w:customStyle="1" w:styleId="19">
    <w:name w:val="easysite-news-describe"/>
    <w:basedOn w:val="0"/>
    <w:pPr>
      <w:widowControl/>
      <w:spacing w:before="100" w:beforeAutospacing="1" w:after="100" w:afterAutospacing="1"/>
      <w:jc w:val="left"/>
    </w:pPr>
    <w:rPr>
      <w:rFonts w:ascii="宋体" w:eastAsia="宋体" w:cs="宋体"/>
      <w:kern w:val="0"/>
      <w:sz w:val="24"/>
      <w:szCs w:val="24"/>
    </w:rPr>
  </w:style>
  <w:style w:type="character" w:customStyle="1" w:styleId="20">
    <w:name w:val="easysite-news-fontsize"/>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993</TotalTime>
  <Application>Yozo_Office</Application>
  <Pages>1</Pages>
  <Words>20</Words>
  <Characters>20</Characters>
  <Lines>1</Lines>
  <Paragraphs>1</Paragraphs>
  <CharactersWithSpaces>28</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acer</dc:creator>
  <cp:lastModifiedBy>赖婧</cp:lastModifiedBy>
  <cp:revision>15</cp:revision>
  <dcterms:created xsi:type="dcterms:W3CDTF">2021-12-14T07:31:00Z</dcterms:created>
  <dcterms:modified xsi:type="dcterms:W3CDTF">2024-10-17T00:54:56Z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2052-12.1.0.15712</vt:lpwstr>
  </property>
  <property fmtid="{D5CDD505-2E9C-101B-9397-08002B2CF9AE}" pid="3" name="ICV">
    <vt:lpwstr>F4FB4F5FCCF64E3C8AA5052E05D36147_13</vt:lpwstr>
  </property>
</Properties>
</file>