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rPr>
          <w:rStyle w:val="0"/>
          <w:rFonts w:eastAsia="方正小标宋_GBK" w:cs="方正小标宋_GBK" w:hint="eastAsia"/>
          <w:bCs/>
          <w:sz w:val="44"/>
          <w:szCs w:val="44"/>
          <w:shd w:val="clear" w:color="auto" w:fill="auto"/>
        </w:rPr>
      </w:pPr>
      <w:r>
        <w:rPr>
          <w:rStyle w:val="0"/>
          <w:rFonts w:eastAsia="方正小标宋_GBK" w:cs="方正小标宋_GBK"/>
          <w:bCs/>
          <w:sz w:val="44"/>
          <w:szCs w:val="44"/>
          <w:shd w:val="clear" w:color="auto" w:fill="auto"/>
        </w:rPr>
        <w:t>龙邦海关2019年政府信息公开工作年度报告</w:t>
      </w:r>
    </w:p>
    <w:p>
      <w:pPr>
        <w:pStyle w:val="16"/>
        <w:widowControl/>
        <w:shd w:val="clear" w:color="auto" w:fill="FFFFFF"/>
        <w:adjustRightInd w:val="0"/>
        <w:snapToGrid w:val="0"/>
        <w:spacing w:beforeAutospacing="0" w:afterAutospacing="0" w:line="560" w:lineRule="exact"/>
        <w:ind w:firstLine="0"/>
        <w:jc w:val="both"/>
        <w:rPr>
          <w:rFonts w:eastAsia="方正黑体_GBK" w:cs="楷体_GB2312" w:hint="eastAsia"/>
          <w:bCs/>
          <w:color w:val="auto"/>
          <w:sz w:val="32"/>
          <w:szCs w:val="32"/>
        </w:rPr>
      </w:pPr>
      <w:r>
        <w:rPr>
          <w:rFonts w:eastAsia="楷体_GB2312" w:cs="楷体_GB2312" w:hint="eastAsia"/>
          <w:bCs/>
          <w:color w:val="auto"/>
          <w:sz w:val="32"/>
          <w:szCs w:val="32"/>
          <w:shd w:val="clear" w:color="auto" w:fill="FFFFFF"/>
        </w:rPr>
        <w:t xml:space="preserve">    </w:t>
      </w:r>
    </w:p>
    <w:p>
      <w:pPr>
        <w:pStyle w:val="44"/>
        <w:widowControl/>
        <w:shd w:val="clear" w:color="auto" w:fill="FFFFFF"/>
        <w:adjustRightInd w:val="0"/>
        <w:snapToGrid w:val="0"/>
        <w:spacing w:beforeAutospacing="0" w:afterAutospacing="0" w:line="560" w:lineRule="exact"/>
        <w:ind w:firstLineChars="200" w:firstLine="640"/>
        <w:jc w:val="both"/>
        <w:rPr>
          <w:rFonts w:eastAsia="方正仿宋_GBK"/>
          <w:bCs/>
          <w:sz w:val="32"/>
          <w:szCs w:val="32"/>
          <w:shd w:val="clear" w:color="auto" w:fill="FFFFFF"/>
        </w:rPr>
      </w:pPr>
      <w:r>
        <w:rPr>
          <w:rFonts w:eastAsia="方正仿宋_GBK" w:cs="楷体_GB2312"/>
          <w:bCs/>
          <w:sz w:val="32"/>
          <w:szCs w:val="32"/>
          <w:shd w:val="clear" w:color="auto" w:fill="FFFFFF"/>
          <w:lang w:bidi="ar-SA"/>
        </w:rPr>
        <w:t>根据《中华人民共和国政府信息公开条例》（国令711号）要求</w:t>
      </w:r>
      <w:r>
        <w:rPr>
          <w:rFonts w:eastAsia="方正仿宋_GBK" w:cs="楷体_GB2312"/>
          <w:color w:val="auto"/>
          <w:sz w:val="32"/>
          <w:szCs w:val="32"/>
        </w:rPr>
        <w:t>，现将2019年度龙邦海关政府信息公开年度报告予以公布。</w:t>
      </w:r>
      <w:r>
        <w:rPr>
          <w:rFonts w:eastAsia="方正仿宋_GBK"/>
          <w:bCs/>
          <w:sz w:val="32"/>
          <w:szCs w:val="32"/>
          <w:shd w:val="clear" w:color="auto" w:fill="FFFFFF"/>
        </w:rPr>
        <w:t>本报告由</w:t>
      </w:r>
      <w:r>
        <w:rPr>
          <w:rFonts w:eastAsia="方正仿宋_GBK" w:hint="eastAsia"/>
          <w:bCs/>
          <w:sz w:val="32"/>
          <w:szCs w:val="32"/>
          <w:shd w:val="clear" w:color="auto" w:fill="FFFFFF"/>
        </w:rPr>
        <w:t>总体情况</w:t>
      </w:r>
      <w:r>
        <w:rPr>
          <w:rFonts w:eastAsia="方正仿宋_GBK"/>
          <w:bCs/>
          <w:sz w:val="32"/>
          <w:szCs w:val="32"/>
          <w:shd w:val="clear" w:color="auto" w:fill="FFFFFF"/>
        </w:rPr>
        <w:t>、</w:t>
      </w:r>
      <w:r>
        <w:rPr>
          <w:rFonts w:eastAsia="方正仿宋_GBK" w:hint="eastAsia"/>
          <w:bCs/>
          <w:sz w:val="32"/>
          <w:szCs w:val="32"/>
          <w:shd w:val="clear" w:color="auto" w:fill="FFFFFF"/>
        </w:rPr>
        <w:t>主动公开政府信息情况</w:t>
      </w:r>
      <w:r>
        <w:rPr>
          <w:rFonts w:eastAsia="方正仿宋_GBK"/>
          <w:bCs/>
          <w:sz w:val="32"/>
          <w:szCs w:val="32"/>
          <w:shd w:val="clear" w:color="auto" w:fill="FFFFFF"/>
        </w:rPr>
        <w:t>、</w:t>
      </w:r>
      <w:r>
        <w:rPr>
          <w:rFonts w:eastAsia="方正仿宋_GBK" w:hint="eastAsia"/>
          <w:bCs/>
          <w:sz w:val="32"/>
          <w:szCs w:val="32"/>
          <w:shd w:val="clear" w:color="auto" w:fill="FFFFFF"/>
        </w:rPr>
        <w:t>收到和处理政府信息公开申请情况</w:t>
      </w:r>
      <w:r>
        <w:rPr>
          <w:rFonts w:eastAsia="方正仿宋_GBK"/>
          <w:bCs/>
          <w:sz w:val="32"/>
          <w:szCs w:val="32"/>
          <w:shd w:val="clear" w:color="auto" w:fill="FFFFFF"/>
        </w:rPr>
        <w:t>、</w:t>
      </w:r>
      <w:r>
        <w:rPr>
          <w:rFonts w:eastAsia="方正仿宋_GBK" w:hint="eastAsia"/>
          <w:bCs/>
          <w:sz w:val="32"/>
          <w:szCs w:val="32"/>
          <w:shd w:val="clear" w:color="auto" w:fill="FFFFFF"/>
        </w:rPr>
        <w:t>政府信息公开行政复议、行政诉讼情况、存在的主要问题及改进情况</w:t>
      </w:r>
      <w:r>
        <w:rPr>
          <w:rFonts w:eastAsia="方正仿宋_GBK"/>
          <w:bCs/>
          <w:sz w:val="32"/>
          <w:szCs w:val="32"/>
          <w:shd w:val="clear" w:color="auto" w:fill="FFFFFF"/>
        </w:rPr>
        <w:t>等六个部分构成，所列数据的统计期限自201</w:t>
      </w:r>
      <w:r>
        <w:rPr>
          <w:rFonts w:eastAsia="方正仿宋_GBK" w:hint="eastAsia"/>
          <w:bCs/>
          <w:sz w:val="32"/>
          <w:szCs w:val="32"/>
          <w:shd w:val="clear" w:color="auto" w:fill="FFFFFF"/>
        </w:rPr>
        <w:t>9</w:t>
      </w:r>
      <w:r>
        <w:rPr>
          <w:rFonts w:eastAsia="方正仿宋_GBK"/>
          <w:bCs/>
          <w:sz w:val="32"/>
          <w:szCs w:val="32"/>
          <w:shd w:val="clear" w:color="auto" w:fill="FFFFFF"/>
        </w:rPr>
        <w:t>年1月1日起至12月31日止。</w:t>
      </w:r>
    </w:p>
    <w:p>
      <w:pPr>
        <w:pStyle w:val="45"/>
        <w:widowControl/>
        <w:shd w:val="clear" w:color="auto" w:fill="FFFFFF"/>
        <w:adjustRightInd w:val="0"/>
        <w:snapToGrid w:val="0"/>
        <w:spacing w:beforeAutospacing="0" w:afterAutospacing="0" w:line="560" w:lineRule="exact"/>
        <w:ind w:firstLineChars="200" w:firstLine="640"/>
        <w:jc w:val="both"/>
        <w:rPr>
          <w:rFonts w:eastAsia="方正仿宋_GBK" w:cs="楷体_GB2312"/>
          <w:color w:val="auto"/>
          <w:sz w:val="32"/>
          <w:szCs w:val="32"/>
        </w:rPr>
      </w:pPr>
      <w:r>
        <w:rPr>
          <w:rFonts w:eastAsia="方正黑体_GBK" w:cs="楷体_GB2312" w:hint="eastAsia"/>
          <w:bCs/>
          <w:color w:val="auto"/>
          <w:sz w:val="32"/>
          <w:szCs w:val="32"/>
          <w:shd w:val="clear" w:color="auto" w:fill="FFFFFF"/>
        </w:rPr>
        <w:t>一、总体情况</w:t>
      </w:r>
    </w:p>
    <w:p>
      <w:pPr>
        <w:pStyle w:val="46"/>
        <w:spacing w:line="560" w:lineRule="exact"/>
        <w:ind w:firstLineChars="200" w:firstLine="640"/>
        <w:jc w:val="both"/>
        <w:rPr>
          <w:rFonts w:eastAsia="方正楷体_GBK" w:hint="eastAsia"/>
          <w:b/>
          <w:bCs/>
          <w:sz w:val="32"/>
          <w:szCs w:val="32"/>
          <w:shd w:val="clear" w:color="auto" w:fill="FFFFFF"/>
        </w:rPr>
      </w:pPr>
      <w:r>
        <w:rPr>
          <w:rFonts w:eastAsia="方正楷体_GBK"/>
          <w:b/>
          <w:bCs/>
          <w:sz w:val="32"/>
          <w:szCs w:val="32"/>
          <w:shd w:val="clear" w:color="auto" w:fill="FFFFFF"/>
        </w:rPr>
        <w:t>（</w:t>
      </w:r>
      <w:r>
        <w:rPr>
          <w:rFonts w:eastAsia="方正楷体_GBK" w:hint="eastAsia"/>
          <w:b/>
          <w:bCs/>
          <w:sz w:val="32"/>
          <w:szCs w:val="32"/>
          <w:shd w:val="clear" w:color="auto" w:fill="FFFFFF"/>
        </w:rPr>
        <w:t>一</w:t>
      </w:r>
      <w:r>
        <w:rPr>
          <w:rFonts w:eastAsia="方正楷体_GBK"/>
          <w:b/>
          <w:bCs/>
          <w:sz w:val="32"/>
          <w:szCs w:val="32"/>
          <w:shd w:val="clear" w:color="auto" w:fill="FFFFFF"/>
        </w:rPr>
        <w:t>）</w:t>
      </w:r>
      <w:r>
        <w:rPr>
          <w:rFonts w:eastAsia="方正楷体_GBK" w:hint="eastAsia"/>
          <w:b/>
          <w:bCs/>
          <w:sz w:val="32"/>
          <w:szCs w:val="32"/>
          <w:shd w:val="clear" w:color="auto" w:fill="FFFFFF"/>
        </w:rPr>
        <w:t>统筹安排，明确工作任务</w:t>
      </w:r>
      <w:r>
        <w:rPr>
          <w:rFonts w:eastAsia="方正楷体_GBK"/>
          <w:b/>
          <w:bCs/>
          <w:sz w:val="32"/>
          <w:szCs w:val="32"/>
          <w:shd w:val="clear" w:color="auto" w:fill="FFFFFF"/>
        </w:rPr>
        <w:t>。</w:t>
      </w:r>
    </w:p>
    <w:p>
      <w:pPr>
        <w:pStyle w:val="47"/>
        <w:spacing w:line="560" w:lineRule="exact"/>
        <w:ind w:firstLineChars="200" w:firstLine="640"/>
        <w:jc w:val="both"/>
        <w:rPr>
          <w:rFonts w:eastAsia="方正仿宋_GBK" w:hint="eastAsia"/>
          <w:bCs/>
          <w:sz w:val="32"/>
          <w:szCs w:val="32"/>
          <w:shd w:val="clear" w:color="auto" w:fill="FFFFFF"/>
          <w:lang w:bidi="ar-SA"/>
        </w:rPr>
      </w:pPr>
      <w:r>
        <w:rPr>
          <w:rFonts w:eastAsia="方正仿宋_GBK" w:hint="eastAsia"/>
          <w:color w:val="000000"/>
          <w:sz w:val="32"/>
          <w:szCs w:val="32"/>
          <w:bdr w:val="none" w:sz="0" w:space="0" w:color="auto"/>
        </w:rPr>
        <w:t>在关领导统一部署下，</w:t>
      </w:r>
      <w:r>
        <w:rPr>
          <w:rFonts w:eastAsia="方正仿宋_GBK"/>
          <w:bCs/>
          <w:sz w:val="32"/>
          <w:szCs w:val="32"/>
          <w:shd w:val="clear" w:color="auto" w:fill="FFFFFF"/>
        </w:rPr>
        <w:t>根据南宁海关及</w:t>
      </w:r>
      <w:r>
        <w:rPr>
          <w:rFonts w:eastAsia="方正仿宋_GBK" w:hint="eastAsia"/>
          <w:bCs/>
          <w:sz w:val="32"/>
          <w:szCs w:val="32"/>
          <w:shd w:val="clear" w:color="auto" w:fill="FFFFFF"/>
        </w:rPr>
        <w:t>地方</w:t>
      </w:r>
      <w:r>
        <w:rPr>
          <w:rFonts w:eastAsia="方正仿宋_GBK"/>
          <w:bCs/>
          <w:sz w:val="32"/>
          <w:szCs w:val="32"/>
          <w:shd w:val="clear" w:color="auto" w:fill="FFFFFF"/>
        </w:rPr>
        <w:t>政府的相关工作要求，结合辖区实际，及时调整政务公开领导小组，</w:t>
      </w:r>
      <w:r>
        <w:rPr>
          <w:rFonts w:eastAsia="方正仿宋_GBK" w:hint="eastAsia"/>
          <w:color w:val="000000"/>
          <w:sz w:val="32"/>
          <w:szCs w:val="32"/>
          <w:bdr w:val="none" w:sz="0" w:space="0" w:color="auto"/>
        </w:rPr>
        <w:t>办公室负责总体协</w:t>
      </w:r>
      <w:r>
        <w:rPr>
          <w:rFonts w:eastAsia="方正仿宋_GBK" w:hint="eastAsia"/>
          <w:bCs/>
          <w:sz w:val="32"/>
          <w:szCs w:val="32"/>
          <w:bdr w:val="none" w:sz="0" w:space="0" w:color="auto"/>
          <w:shd w:val="clear" w:color="auto" w:fill="FFFFFF"/>
        </w:rPr>
        <w:t>调、政策信息收集整理、宣传材料准备等工作，人事政工科负责接收信息举报工作，各业务一线科室负责对执法对象开展重点工作相关的政策法规的解读与宣传，同时</w:t>
      </w:r>
      <w:r>
        <w:rPr>
          <w:rFonts w:eastAsia="方正仿宋_GBK" w:hint="eastAsia"/>
          <w:bCs/>
          <w:sz w:val="32"/>
          <w:szCs w:val="32"/>
          <w:shd w:val="clear" w:color="auto" w:fill="FFFFFF"/>
          <w:lang w:bidi="ar-SA"/>
        </w:rPr>
        <w:t>对执法对象的需求开展调研活动，有针对性的开展政务公开工作，着力推动实际问题的解决。</w:t>
      </w:r>
    </w:p>
    <w:p>
      <w:pPr>
        <w:pStyle w:val="48"/>
        <w:spacing w:line="560" w:lineRule="exact"/>
        <w:ind w:left="0" w:firstLineChars="200" w:firstLine="640"/>
        <w:jc w:val="both"/>
        <w:rPr>
          <w:rFonts w:eastAsia="方正楷体_GBK"/>
          <w:b/>
          <w:bCs/>
          <w:sz w:val="32"/>
          <w:szCs w:val="32"/>
          <w:shd w:val="clear" w:color="auto" w:fill="FFFFFF"/>
        </w:rPr>
      </w:pPr>
      <w:r>
        <w:rPr>
          <w:rFonts w:eastAsia="方正楷体_GBK"/>
          <w:b/>
          <w:bCs/>
          <w:sz w:val="32"/>
          <w:szCs w:val="32"/>
          <w:shd w:val="clear" w:color="auto" w:fill="FFFFFF"/>
        </w:rPr>
        <w:t>（二）充分挖掘工作亮点，做好服务。</w:t>
      </w:r>
    </w:p>
    <w:p>
      <w:pPr>
        <w:pStyle w:val="49"/>
        <w:tabs>
          <w:tab w:val="left" w:pos="312"/>
        </w:tabs>
        <w:spacing w:line="560" w:lineRule="exact"/>
        <w:ind w:firstLineChars="200" w:firstLine="640"/>
        <w:rPr>
          <w:rFonts w:ascii="Times New Roman" w:eastAsia="方正仿宋_GBK" w:cs="Calibri" w:hAnsi="Times New Roman"/>
          <w:bCs/>
          <w:color w:val="000000"/>
          <w:kern w:val="0"/>
          <w:sz w:val="32"/>
          <w:szCs w:val="32"/>
          <w:lang w:eastAsia="zh-CN" w:bidi="ar-SA"/>
        </w:rPr>
      </w:pPr>
      <w:r>
        <w:rPr>
          <w:rFonts w:ascii="Times New Roman" w:eastAsia="方正仿宋_GBK" w:cs="Calibri" w:hAnsi="Times New Roman"/>
          <w:b/>
          <w:bCs/>
          <w:color w:val="000000"/>
          <w:kern w:val="0"/>
          <w:sz w:val="32"/>
          <w:szCs w:val="32"/>
          <w:lang w:eastAsia="zh-CN" w:bidi="ar-SA"/>
        </w:rPr>
        <w:t>一是便民服务方面。</w:t>
      </w:r>
      <w:r>
        <w:rPr>
          <w:rFonts w:ascii="Times New Roman" w:eastAsia="方正仿宋_GBK" w:cs="Calibri" w:hAnsi="Times New Roman"/>
          <w:bCs/>
          <w:color w:val="000000"/>
          <w:kern w:val="0"/>
          <w:sz w:val="32"/>
          <w:szCs w:val="32"/>
          <w:lang w:eastAsia="zh-CN" w:bidi="ar-SA"/>
        </w:rPr>
        <w:t>我关主动加强与地方宣传机构、新闻媒体的联系，并充分利用新媒体渠道进行信息推送。对严禁</w:t>
      </w:r>
      <w:r>
        <w:rPr>
          <w:rFonts w:ascii="Times New Roman" w:eastAsia="方正仿宋_GBK" w:cs="Calibri" w:hAnsi="Times New Roman" w:hint="eastAsia"/>
          <w:bCs/>
          <w:color w:val="000000"/>
          <w:kern w:val="0"/>
          <w:sz w:val="32"/>
          <w:szCs w:val="32"/>
          <w:lang w:eastAsia="zh-CN" w:bidi="ar-SA"/>
        </w:rPr>
        <w:t>“</w:t>
      </w:r>
      <w:r>
        <w:rPr>
          <w:rFonts w:ascii="Times New Roman" w:eastAsia="方正仿宋_GBK" w:cs="Calibri" w:hAnsi="Times New Roman"/>
          <w:bCs/>
          <w:color w:val="000000"/>
          <w:kern w:val="0"/>
          <w:sz w:val="32"/>
          <w:szCs w:val="32"/>
          <w:lang w:eastAsia="zh-CN" w:bidi="ar-SA"/>
        </w:rPr>
        <w:t>洋垃圾</w:t>
      </w:r>
      <w:r>
        <w:rPr>
          <w:rFonts w:ascii="Times New Roman" w:eastAsia="方正仿宋_GBK" w:cs="Calibri" w:hAnsi="Times New Roman" w:hint="eastAsia"/>
          <w:bCs/>
          <w:color w:val="000000"/>
          <w:kern w:val="0"/>
          <w:sz w:val="32"/>
          <w:szCs w:val="32"/>
          <w:lang w:eastAsia="zh-CN" w:bidi="ar-SA"/>
        </w:rPr>
        <w:t>”</w:t>
      </w:r>
      <w:r>
        <w:rPr>
          <w:rFonts w:ascii="Times New Roman" w:eastAsia="方正仿宋_GBK" w:cs="Calibri" w:hAnsi="Times New Roman"/>
          <w:bCs/>
          <w:color w:val="000000"/>
          <w:kern w:val="0"/>
          <w:sz w:val="32"/>
          <w:szCs w:val="32"/>
          <w:lang w:eastAsia="zh-CN" w:bidi="ar-SA"/>
        </w:rPr>
        <w:t>入境、打击濒危物种制品走私、非洲猪瘟疫情、进出口食品安全、对优化口岸营商环境等经济社会热点加强宣传，联合其他部</w:t>
      </w:r>
      <w:r>
        <w:rPr>
          <w:rFonts w:ascii="Times New Roman" w:eastAsia="方正仿宋_GBK" w:hAnsi="Times New Roman"/>
          <w:bCs/>
          <w:color w:val="000000"/>
          <w:kern w:val="0"/>
          <w:sz w:val="32"/>
          <w:szCs w:val="32"/>
          <w:lang w:eastAsia="zh-CN" w:bidi="ar-SA"/>
        </w:rPr>
        <w:t>门，制作相关宣传板报，分发宣传资料，联合民警进校园开展普法活动1次；</w:t>
      </w:r>
      <w:r>
        <w:rPr>
          <w:rFonts w:ascii="Times New Roman" w:eastAsia="方正仿宋_GBK" w:hAnsi="Times New Roman"/>
          <w:bCs/>
          <w:color w:val="000000"/>
          <w:kern w:val="0"/>
          <w:sz w:val="32"/>
          <w:szCs w:val="32"/>
        </w:rPr>
        <w:t>开展保密宣传教育作品征集和“五法”普法知识答题活动、垃圾分类答题2次；参加靖西市在中山休闲广场组织的</w:t>
      </w:r>
      <w:r>
        <w:rPr>
          <w:rFonts w:ascii="Times New Roman" w:eastAsia="方正仿宋_GBK" w:hAnsi="Times New Roman" w:hint="eastAsia"/>
          <w:bCs/>
          <w:color w:val="000000"/>
          <w:kern w:val="0"/>
          <w:sz w:val="32"/>
          <w:szCs w:val="32"/>
        </w:rPr>
        <w:t>“</w:t>
      </w:r>
      <w:r>
        <w:rPr>
          <w:rFonts w:ascii="Times New Roman" w:eastAsia="方正仿宋_GBK" w:hAnsi="Times New Roman"/>
          <w:bCs/>
          <w:color w:val="000000"/>
          <w:kern w:val="0"/>
          <w:sz w:val="32"/>
          <w:szCs w:val="32"/>
        </w:rPr>
        <w:t>4.15全民国家安全教育日宣传教育活动</w:t>
      </w:r>
      <w:r>
        <w:rPr>
          <w:rFonts w:ascii="Times New Roman" w:eastAsia="方正仿宋_GBK" w:hAnsi="Times New Roman" w:hint="eastAsia"/>
          <w:bCs/>
          <w:color w:val="000000"/>
          <w:kern w:val="0"/>
          <w:sz w:val="32"/>
          <w:szCs w:val="32"/>
        </w:rPr>
        <w:t>”</w:t>
      </w:r>
      <w:r>
        <w:rPr>
          <w:rFonts w:ascii="Times New Roman" w:eastAsia="方正仿宋_GBK" w:hAnsi="Times New Roman"/>
          <w:bCs/>
          <w:color w:val="000000"/>
          <w:kern w:val="0"/>
          <w:sz w:val="32"/>
          <w:szCs w:val="32"/>
        </w:rPr>
        <w:t>1次；在辖区各监管现场、口岸附近小学及乡镇街市通过张贴海报、发放宣传单、现场讲解、专题普法课和政策宣讲等共计10余次；开展进口货物报关</w:t>
      </w:r>
      <w:r>
        <w:rPr>
          <w:rFonts w:ascii="Times New Roman" w:eastAsia="方正仿宋_GBK" w:hAnsi="Times New Roman" w:hint="eastAsia"/>
          <w:bCs/>
          <w:color w:val="000000"/>
          <w:kern w:val="0"/>
          <w:sz w:val="32"/>
          <w:szCs w:val="32"/>
        </w:rPr>
        <w:t>“</w:t>
      </w:r>
      <w:r>
        <w:rPr>
          <w:rFonts w:ascii="Times New Roman" w:eastAsia="方正仿宋_GBK" w:hAnsi="Times New Roman"/>
          <w:bCs/>
          <w:color w:val="000000"/>
          <w:kern w:val="0"/>
          <w:sz w:val="32"/>
          <w:szCs w:val="32"/>
        </w:rPr>
        <w:t>提前审结</w:t>
      </w:r>
      <w:r>
        <w:rPr>
          <w:rFonts w:ascii="Times New Roman" w:eastAsia="方正仿宋_GBK" w:hAnsi="Times New Roman" w:hint="eastAsia"/>
          <w:bCs/>
          <w:color w:val="000000"/>
          <w:kern w:val="0"/>
          <w:sz w:val="32"/>
          <w:szCs w:val="32"/>
        </w:rPr>
        <w:t>”</w:t>
      </w:r>
      <w:r>
        <w:rPr>
          <w:rFonts w:ascii="Times New Roman" w:eastAsia="方正仿宋_GBK" w:hAnsi="Times New Roman"/>
          <w:bCs/>
          <w:color w:val="000000"/>
          <w:kern w:val="0"/>
          <w:sz w:val="32"/>
          <w:szCs w:val="32"/>
        </w:rPr>
        <w:t>模式政策、外贸原产地证优惠政策、互市进口商品落地加工政策、中越边民互市贸易进口常见商品审核工作宣讲会共4次。</w:t>
      </w:r>
    </w:p>
    <w:p>
      <w:pPr>
        <w:pStyle w:val="49"/>
        <w:tabs>
          <w:tab w:val="left" w:pos="312"/>
        </w:tabs>
        <w:spacing w:line="560" w:lineRule="exact"/>
        <w:ind w:firstLineChars="200" w:firstLine="640"/>
        <w:rPr>
          <w:rFonts w:ascii="Times New Roman" w:eastAsia="方正仿宋_GBK" w:hAnsi="Times New Roman"/>
          <w:bCs/>
          <w:color w:val="000000"/>
          <w:kern w:val="0"/>
          <w:sz w:val="32"/>
          <w:szCs w:val="32"/>
        </w:rPr>
      </w:pPr>
      <w:r>
        <w:rPr>
          <w:rFonts w:ascii="Times New Roman" w:eastAsia="方正仿宋_GBK" w:hAnsi="Times New Roman"/>
          <w:b/>
          <w:bCs/>
          <w:color w:val="000000"/>
          <w:kern w:val="0"/>
          <w:sz w:val="32"/>
          <w:szCs w:val="32"/>
        </w:rPr>
        <w:t>二是重点领域信息公开方面。</w:t>
      </w:r>
      <w:r>
        <w:rPr>
          <w:rFonts w:ascii="Times New Roman" w:eastAsia="方正仿宋_GBK" w:hAnsi="Times New Roman"/>
          <w:bCs/>
          <w:color w:val="000000"/>
          <w:kern w:val="0"/>
          <w:sz w:val="32"/>
          <w:szCs w:val="32"/>
        </w:rPr>
        <w:t>对相关重要政策，我关通过在关企QQ群、微信群等新媒体渠道转发海关发布、南宁海关发布微博微信等方式进行宣传；对涉及行政相对人切实利益、容易引发媒体和社会关注的政策性文件等内容通过政务公开栏、业务现场张贴公告等方式进行日常宣传；对涉及企业减税降费等优惠政策，除上述方法之外，还通过送政策上门等方式对企业开展</w:t>
      </w:r>
      <w:r>
        <w:rPr>
          <w:rFonts w:ascii="Times New Roman" w:eastAsia="方正仿宋_GBK" w:hAnsi="Times New Roman" w:hint="eastAsia"/>
          <w:bCs/>
          <w:color w:val="000000"/>
          <w:kern w:val="0"/>
          <w:sz w:val="32"/>
          <w:szCs w:val="32"/>
        </w:rPr>
        <w:t>“</w:t>
      </w:r>
      <w:r>
        <w:rPr>
          <w:rFonts w:ascii="Times New Roman" w:eastAsia="方正仿宋_GBK" w:hAnsi="Times New Roman"/>
          <w:bCs/>
          <w:color w:val="000000"/>
          <w:kern w:val="0"/>
          <w:sz w:val="32"/>
          <w:szCs w:val="32"/>
        </w:rPr>
        <w:t>面对面</w:t>
      </w:r>
      <w:r>
        <w:rPr>
          <w:rFonts w:ascii="Times New Roman" w:eastAsia="方正仿宋_GBK" w:hAnsi="Times New Roman" w:hint="eastAsia"/>
          <w:bCs/>
          <w:color w:val="000000"/>
          <w:kern w:val="0"/>
          <w:sz w:val="32"/>
          <w:szCs w:val="32"/>
        </w:rPr>
        <w:t>”</w:t>
      </w:r>
      <w:r>
        <w:rPr>
          <w:rFonts w:ascii="Times New Roman" w:eastAsia="方正仿宋_GBK" w:hAnsi="Times New Roman"/>
          <w:bCs/>
          <w:color w:val="000000"/>
          <w:kern w:val="0"/>
          <w:sz w:val="32"/>
          <w:szCs w:val="32"/>
        </w:rPr>
        <w:t>宣传。</w:t>
      </w:r>
    </w:p>
    <w:p>
      <w:pPr>
        <w:pStyle w:val="45"/>
        <w:widowControl/>
        <w:shd w:val="clear" w:color="auto" w:fill="FFFFFF"/>
        <w:adjustRightInd w:val="0"/>
        <w:snapToGrid w:val="0"/>
        <w:spacing w:beforeAutospacing="0" w:afterAutospacing="0" w:line="560" w:lineRule="exact"/>
        <w:ind w:firstLineChars="200" w:firstLine="640"/>
        <w:jc w:val="both"/>
        <w:rPr>
          <w:rFonts w:eastAsia="方正仿宋_GBK"/>
          <w:bCs/>
          <w:color w:val="000000"/>
          <w:sz w:val="32"/>
          <w:szCs w:val="32"/>
        </w:rPr>
      </w:pPr>
      <w:r>
        <w:rPr>
          <w:rFonts w:eastAsia="方正仿宋_GBK"/>
          <w:b/>
          <w:bCs/>
          <w:color w:val="000000"/>
          <w:kern w:val="0"/>
          <w:sz w:val="32"/>
          <w:szCs w:val="32"/>
        </w:rPr>
        <w:t>三是重大决策和执行情况公开方面。</w:t>
      </w:r>
      <w:r>
        <w:rPr>
          <w:rFonts w:eastAsia="方正仿宋_GBK"/>
          <w:bCs/>
          <w:color w:val="000000"/>
          <w:kern w:val="0"/>
          <w:sz w:val="32"/>
          <w:szCs w:val="32"/>
        </w:rPr>
        <w:t>我关通过在</w:t>
      </w:r>
      <w:r>
        <w:rPr>
          <w:rFonts w:eastAsia="方正仿宋_GBK" w:hint="eastAsia"/>
          <w:bCs/>
          <w:color w:val="000000"/>
          <w:kern w:val="0"/>
          <w:sz w:val="32"/>
          <w:szCs w:val="32"/>
        </w:rPr>
        <w:t>公示栏、服务窗口等途径</w:t>
      </w:r>
      <w:r>
        <w:rPr>
          <w:rFonts w:eastAsia="方正仿宋_GBK"/>
          <w:bCs/>
          <w:color w:val="000000"/>
          <w:kern w:val="0"/>
          <w:sz w:val="32"/>
          <w:szCs w:val="32"/>
        </w:rPr>
        <w:t>张贴办事指南、流程图等方式</w:t>
      </w:r>
      <w:r>
        <w:rPr>
          <w:rFonts w:eastAsia="方正仿宋_GBK" w:hint="eastAsia"/>
          <w:bCs/>
          <w:color w:val="000000"/>
          <w:kern w:val="0"/>
          <w:sz w:val="32"/>
          <w:szCs w:val="32"/>
        </w:rPr>
        <w:t>向社会公开行政执法职责、执法依据</w:t>
      </w:r>
      <w:r>
        <w:rPr>
          <w:rFonts w:eastAsia="方正仿宋_GBK"/>
          <w:bCs/>
          <w:color w:val="000000"/>
          <w:kern w:val="0"/>
          <w:sz w:val="32"/>
          <w:szCs w:val="32"/>
        </w:rPr>
        <w:t>、执法流程</w:t>
      </w:r>
      <w:r>
        <w:rPr>
          <w:rFonts w:eastAsia="方正仿宋_GBK" w:hint="eastAsia"/>
          <w:bCs/>
          <w:color w:val="000000"/>
          <w:kern w:val="0"/>
          <w:sz w:val="32"/>
          <w:szCs w:val="32"/>
        </w:rPr>
        <w:t>等信息。强化事前公开，按照“谁执法、谁公开”的原则，及时主动公开行政执法主体、程序、救济渠道和随机抽查事项清单等信息，</w:t>
      </w:r>
      <w:r>
        <w:rPr>
          <w:rFonts w:eastAsia="方正仿宋_GBK"/>
          <w:bCs/>
          <w:color w:val="000000"/>
          <w:kern w:val="0"/>
          <w:sz w:val="32"/>
          <w:szCs w:val="32"/>
        </w:rPr>
        <w:t>张贴</w:t>
      </w:r>
      <w:r>
        <w:rPr>
          <w:rFonts w:eastAsia="方正仿宋_GBK" w:hint="eastAsia"/>
          <w:bCs/>
          <w:color w:val="000000"/>
          <w:kern w:val="0"/>
          <w:sz w:val="32"/>
          <w:szCs w:val="32"/>
        </w:rPr>
        <w:t>服务指南，明确执法事项名称、设定依据、办理材料、办理流程等信息</w:t>
      </w:r>
      <w:r>
        <w:rPr>
          <w:rFonts w:eastAsia="方正仿宋_GBK"/>
          <w:bCs/>
          <w:color w:val="000000"/>
          <w:kern w:val="0"/>
          <w:sz w:val="32"/>
          <w:szCs w:val="32"/>
        </w:rPr>
        <w:t>；规范事中公开，在走访企业时向企业出具海关廉政执法记录单，明确投诉举报途径；</w:t>
      </w:r>
      <w:r>
        <w:rPr>
          <w:rFonts w:eastAsia="方正仿宋_GBK" w:hint="eastAsia"/>
          <w:bCs/>
          <w:color w:val="000000"/>
          <w:kern w:val="0"/>
          <w:sz w:val="32"/>
          <w:szCs w:val="32"/>
        </w:rPr>
        <w:t>加强事后公开，在执法决定作出之日起20个工作日内，向社会公布执法机关、执法对象、执法类别、执法结论等信息，接受社会监督</w:t>
      </w:r>
      <w:r>
        <w:rPr>
          <w:rFonts w:eastAsia="方正仿宋_GBK"/>
          <w:bCs/>
          <w:color w:val="000000"/>
          <w:kern w:val="0"/>
          <w:sz w:val="32"/>
          <w:szCs w:val="32"/>
        </w:rPr>
        <w:t>。</w:t>
      </w:r>
      <w:r>
        <w:rPr>
          <w:rFonts w:eastAsia="方正仿宋_GBK" w:hint="eastAsia"/>
          <w:bCs/>
          <w:color w:val="000000"/>
          <w:kern w:val="0"/>
          <w:sz w:val="32"/>
          <w:szCs w:val="32"/>
        </w:rPr>
        <w:t>行政处罚</w:t>
      </w:r>
      <w:r>
        <w:rPr>
          <w:rFonts w:eastAsia="方正仿宋_GBK"/>
          <w:bCs/>
          <w:color w:val="000000"/>
          <w:kern w:val="0"/>
          <w:sz w:val="32"/>
          <w:szCs w:val="32"/>
        </w:rPr>
        <w:t>类</w:t>
      </w:r>
      <w:r>
        <w:rPr>
          <w:rFonts w:eastAsia="方正仿宋_GBK" w:hint="eastAsia"/>
          <w:bCs/>
          <w:color w:val="000000"/>
          <w:kern w:val="0"/>
          <w:sz w:val="32"/>
          <w:szCs w:val="32"/>
        </w:rPr>
        <w:t>执法决定信息</w:t>
      </w:r>
      <w:r>
        <w:rPr>
          <w:rFonts w:eastAsia="方正仿宋_GBK"/>
          <w:bCs/>
          <w:color w:val="000000"/>
          <w:kern w:val="0"/>
          <w:sz w:val="32"/>
          <w:szCs w:val="32"/>
        </w:rPr>
        <w:t>，在执法决定作出之日起7个工作日内及时公开。</w:t>
      </w:r>
    </w:p>
    <w:p>
      <w:pPr>
        <w:pStyle w:val="45"/>
        <w:widowControl/>
        <w:shd w:val="clear" w:color="auto" w:fill="FFFFFF"/>
        <w:adjustRightInd w:val="0"/>
        <w:snapToGrid w:val="0"/>
        <w:spacing w:beforeAutospacing="0" w:after="0" w:afterAutospacing="0" w:line="560" w:lineRule="exact"/>
        <w:ind w:firstLineChars="200" w:firstLine="640"/>
        <w:jc w:val="both"/>
        <w:rPr>
          <w:rFonts w:eastAsia="方正黑体_GBK" w:cs="楷体_GB2312"/>
          <w:bCs/>
          <w:color w:val="auto"/>
          <w:sz w:val="32"/>
          <w:szCs w:val="32"/>
          <w:shd w:val="clear" w:color="auto" w:fill="FFFFFF"/>
        </w:rPr>
      </w:pPr>
      <w:r>
        <w:rPr>
          <w:rFonts w:eastAsia="方正黑体_GBK" w:cs="楷体_GB2312" w:hint="eastAsia"/>
          <w:bCs/>
          <w:color w:val="auto"/>
          <w:sz w:val="32"/>
          <w:szCs w:val="32"/>
          <w:shd w:val="clear" w:color="auto" w:fill="FFFFFF"/>
        </w:rPr>
        <w:t>二、主动公开政府信息情况</w:t>
      </w:r>
    </w:p>
    <w:tbl>
      <w:tblPr>
        <w:jc w:val="center"/>
        <w:tblW w:w="10293"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113"/>
        <w:gridCol w:w="2183"/>
        <w:gridCol w:w="1551"/>
        <w:gridCol w:w="3446"/>
      </w:tblGrid>
      <w:tr>
        <w:trPr>
          <w:trHeight w:val="495"/>
        </w:trPr>
        <w:tc>
          <w:tcPr>
            <w:tcW w:w="10293"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第二十条第（一）项</w:t>
            </w:r>
          </w:p>
        </w:tc>
      </w:tr>
      <w:tr>
        <w:trPr>
          <w:trHeight w:val="882"/>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本年新</w:t>
              <w:br/>
            </w:r>
            <w:r>
              <w:rPr>
                <w:color w:val="auto"/>
                <w:kern w:val="0"/>
                <w:sz w:val="24"/>
                <w:szCs w:val="24"/>
              </w:rPr>
              <w:t>制作数量</w:t>
            </w:r>
          </w:p>
        </w:tc>
        <w:tc>
          <w:tcPr>
            <w:tcW w:w="1551"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本年新</w:t>
              <w:br/>
            </w:r>
            <w:r>
              <w:rPr>
                <w:color w:val="auto"/>
                <w:kern w:val="0"/>
                <w:sz w:val="24"/>
                <w:szCs w:val="24"/>
              </w:rPr>
              <w:t>公开数量</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对外公开总数量</w:t>
            </w:r>
          </w:p>
        </w:tc>
      </w:tr>
      <w:tr>
        <w:trPr>
          <w:trHeight w:val="272"/>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规章</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0</w:t>
            </w:r>
          </w:p>
        </w:tc>
        <w:tc>
          <w:tcPr>
            <w:tcW w:w="1551"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0</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0</w:t>
            </w:r>
          </w:p>
        </w:tc>
      </w:tr>
      <w:tr>
        <w:trPr>
          <w:trHeight w:val="471"/>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规范性文件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0</w:t>
            </w:r>
          </w:p>
        </w:tc>
        <w:tc>
          <w:tcPr>
            <w:tcW w:w="1551"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0</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0</w:t>
            </w:r>
          </w:p>
        </w:tc>
      </w:tr>
      <w:tr>
        <w:trPr>
          <w:trHeight w:val="480"/>
        </w:trPr>
        <w:tc>
          <w:tcPr>
            <w:tcW w:w="10293"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第二十条第（五）项</w:t>
            </w:r>
          </w:p>
        </w:tc>
      </w:tr>
      <w:tr>
        <w:trPr>
          <w:trHeight w:val="436"/>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上一年项目数量</w:t>
            </w:r>
          </w:p>
        </w:tc>
        <w:tc>
          <w:tcPr>
            <w:tcW w:w="1551"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本年增/减</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处理决定数量</w:t>
            </w:r>
          </w:p>
        </w:tc>
      </w:tr>
      <w:tr>
        <w:trPr>
          <w:trHeight w:val="400"/>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行政许可</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0</w:t>
            </w:r>
          </w:p>
        </w:tc>
        <w:tc>
          <w:tcPr>
            <w:tcW w:w="1551"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1</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5</w:t>
            </w:r>
          </w:p>
        </w:tc>
      </w:tr>
      <w:tr>
        <w:trPr>
          <w:trHeight w:val="635"/>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其他对外管理服务事项</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0</w:t>
            </w:r>
          </w:p>
        </w:tc>
        <w:tc>
          <w:tcPr>
            <w:tcW w:w="1551"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0</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0</w:t>
            </w:r>
          </w:p>
        </w:tc>
      </w:tr>
      <w:tr>
        <w:trPr>
          <w:trHeight w:val="406"/>
        </w:trPr>
        <w:tc>
          <w:tcPr>
            <w:tcW w:w="10293"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第二十条第（六）项</w:t>
            </w:r>
          </w:p>
        </w:tc>
      </w:tr>
      <w:tr>
        <w:trPr>
          <w:trHeight w:val="447"/>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上一年项目数量</w:t>
            </w:r>
          </w:p>
        </w:tc>
        <w:tc>
          <w:tcPr>
            <w:tcW w:w="1551"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本年增/减</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处理决定数量</w:t>
            </w:r>
          </w:p>
        </w:tc>
      </w:tr>
      <w:tr>
        <w:trPr>
          <w:trHeight w:val="430"/>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行政处罚</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1</w:t>
            </w:r>
          </w:p>
        </w:tc>
        <w:tc>
          <w:tcPr>
            <w:tcW w:w="1551"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0</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6</w:t>
            </w:r>
          </w:p>
        </w:tc>
      </w:tr>
      <w:tr>
        <w:trPr>
          <w:trHeight w:val="409"/>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行政强制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0</w:t>
            </w:r>
          </w:p>
        </w:tc>
        <w:tc>
          <w:tcPr>
            <w:tcW w:w="1551"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0</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0</w:t>
            </w:r>
          </w:p>
        </w:tc>
      </w:tr>
      <w:tr>
        <w:trPr>
          <w:trHeight w:val="474"/>
        </w:trPr>
        <w:tc>
          <w:tcPr>
            <w:tcW w:w="10293"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第二十条第（八）项</w:t>
            </w:r>
          </w:p>
        </w:tc>
      </w:tr>
      <w:tr>
        <w:trPr>
          <w:trHeight w:val="270"/>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信息内容</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上一年项目数量</w:t>
            </w:r>
          </w:p>
        </w:tc>
        <w:tc>
          <w:tcPr>
            <w:tcW w:w="4997" w:type="dxa"/>
            <w:gridSpan w:val="2"/>
            <w:tcBorders>
              <w:top w:val="single" w:sz="8" w:space="0" w:color="auto"/>
              <w:left w:val="nil"/>
              <w:bottom w:val="single" w:sz="8" w:space="0" w:color="auto"/>
              <w:right w:val="single" w:sz="8" w:space="0" w:color="000000"/>
            </w:tcBorders>
            <w:shd w:val="clear" w:color="auto" w:fill="auto"/>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本年增/减</w:t>
            </w:r>
          </w:p>
        </w:tc>
      </w:tr>
      <w:tr>
        <w:trPr>
          <w:trHeight w:val="347"/>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行政事业性收费</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0</w:t>
            </w:r>
          </w:p>
        </w:tc>
        <w:tc>
          <w:tcPr>
            <w:tcW w:w="4997" w:type="dxa"/>
            <w:gridSpan w:val="2"/>
            <w:tcBorders>
              <w:top w:val="nil"/>
              <w:left w:val="nil"/>
              <w:bottom w:val="single" w:sz="8" w:space="0" w:color="auto"/>
              <w:right w:val="single" w:sz="8" w:space="0" w:color="000000"/>
            </w:tcBorders>
            <w:shd w:val="clear" w:color="auto" w:fill="auto"/>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 </w:t>
            </w:r>
            <w:r>
              <w:rPr>
                <w:rFonts w:cs="宋体"/>
                <w:color w:val="auto"/>
                <w:kern w:val="0"/>
                <w:sz w:val="24"/>
                <w:szCs w:val="24"/>
              </w:rPr>
              <w:t>0</w:t>
            </w:r>
          </w:p>
        </w:tc>
      </w:tr>
      <w:tr>
        <w:trPr>
          <w:trHeight w:val="476"/>
        </w:trPr>
        <w:tc>
          <w:tcPr>
            <w:tcW w:w="10293"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第二十条第（九）项</w:t>
            </w:r>
          </w:p>
        </w:tc>
      </w:tr>
      <w:tr>
        <w:trPr>
          <w:trHeight w:val="419"/>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信息内容</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采购项目数量</w:t>
            </w:r>
          </w:p>
        </w:tc>
        <w:tc>
          <w:tcPr>
            <w:tcW w:w="4997" w:type="dxa"/>
            <w:gridSpan w:val="2"/>
            <w:tcBorders>
              <w:top w:val="single" w:sz="8" w:space="0" w:color="auto"/>
              <w:left w:val="nil"/>
              <w:bottom w:val="single" w:sz="8" w:space="0" w:color="auto"/>
              <w:right w:val="single" w:sz="8" w:space="0" w:color="000000"/>
            </w:tcBorders>
            <w:shd w:val="clear" w:color="auto" w:fill="auto"/>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采购总金额</w:t>
            </w:r>
          </w:p>
        </w:tc>
      </w:tr>
      <w:tr>
        <w:trPr>
          <w:trHeight w:val="539"/>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政府集中采购</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0</w:t>
            </w:r>
          </w:p>
        </w:tc>
        <w:tc>
          <w:tcPr>
            <w:tcW w:w="4997" w:type="dxa"/>
            <w:gridSpan w:val="2"/>
            <w:tcBorders>
              <w:top w:val="nil"/>
              <w:left w:val="nil"/>
              <w:bottom w:val="single" w:sz="8" w:space="0" w:color="auto"/>
              <w:right w:val="single" w:sz="8" w:space="0" w:color="000000"/>
            </w:tcBorders>
            <w:shd w:val="clear" w:color="auto" w:fill="auto"/>
            <w:tcMar>
              <w:left w:w="108" w:type="dxa"/>
              <w:right w:w="108" w:type="dxa"/>
            </w:tcMar>
            <w:vAlign w:val="center"/>
          </w:tcPr>
          <w:p>
            <w:pPr>
              <w:adjustRightInd w:val="0"/>
              <w:snapToGrid w:val="0"/>
              <w:spacing w:line="260" w:lineRule="exact"/>
              <w:ind w:firstLineChars="1000" w:firstLine="2400"/>
              <w:rPr>
                <w:color w:val="auto"/>
                <w:sz w:val="24"/>
                <w:szCs w:val="24"/>
              </w:rPr>
            </w:pPr>
            <w:r>
              <w:rPr>
                <w:rFonts w:cs="宋体"/>
                <w:color w:val="auto"/>
                <w:kern w:val="0"/>
                <w:sz w:val="24"/>
                <w:szCs w:val="24"/>
              </w:rPr>
              <w:t>0</w:t>
            </w:r>
          </w:p>
        </w:tc>
      </w:tr>
    </w:tbl>
    <w:p>
      <w:pPr>
        <w:pStyle w:val="45"/>
        <w:widowControl/>
        <w:shd w:val="clear" w:color="auto" w:fill="FFFFFF"/>
        <w:spacing w:beforeAutospacing="0" w:after="240" w:afterAutospacing="0"/>
        <w:ind w:firstLineChars="200" w:firstLine="640"/>
        <w:jc w:val="both"/>
        <w:rPr>
          <w:rFonts w:eastAsia="方正黑体_GBK" w:cs="楷体_GB2312"/>
          <w:bCs/>
          <w:color w:val="auto"/>
          <w:sz w:val="32"/>
          <w:szCs w:val="32"/>
          <w:shd w:val="clear" w:color="auto" w:fill="FFFFFF"/>
        </w:rPr>
      </w:pPr>
      <w:r>
        <w:rPr>
          <w:rFonts w:eastAsia="方正黑体_GBK" w:cs="楷体_GB2312" w:hint="eastAsia"/>
          <w:bCs/>
          <w:color w:val="auto"/>
          <w:sz w:val="32"/>
          <w:szCs w:val="32"/>
          <w:shd w:val="clear" w:color="auto" w:fill="FFFFFF"/>
        </w:rPr>
        <w:t>三、收到和处理政府信息公开申请情况</w:t>
      </w:r>
    </w:p>
    <w:tbl>
      <w:tblPr>
        <w:jc w:val="center"/>
        <w:tblW w:w="9910"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1270"/>
        <w:gridCol w:w="935"/>
        <w:gridCol w:w="3040"/>
        <w:gridCol w:w="600"/>
        <w:gridCol w:w="750"/>
        <w:gridCol w:w="600"/>
        <w:gridCol w:w="749"/>
        <w:gridCol w:w="749"/>
        <w:gridCol w:w="600"/>
        <w:gridCol w:w="617"/>
      </w:tblGrid>
      <w:tr>
        <w:tc>
          <w:tcPr>
            <w:tcW w:w="5245"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color w:val="auto"/>
              </w:rPr>
            </w:pPr>
            <w:r>
              <w:rPr>
                <w:rFonts w:cs="宋体" w:hint="eastAsia"/>
                <w:color w:val="auto"/>
                <w:kern w:val="0"/>
                <w:sz w:val="20"/>
                <w:szCs w:val="20"/>
              </w:rPr>
              <w:t>（本列数据的勾稽关系为：第一项加第二项之和，等于第三项加第四项之和）</w:t>
            </w:r>
          </w:p>
        </w:tc>
        <w:tc>
          <w:tcPr>
            <w:tcW w:w="4665"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color w:val="auto"/>
              </w:rPr>
            </w:pPr>
            <w:r>
              <w:rPr>
                <w:rFonts w:cs="宋体" w:hint="eastAsia"/>
                <w:color w:val="auto"/>
                <w:kern w:val="0"/>
                <w:sz w:val="20"/>
                <w:szCs w:val="20"/>
              </w:rPr>
              <w:t>申请人情况</w:t>
            </w:r>
          </w:p>
        </w:tc>
      </w:tr>
      <w:t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00"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color w:val="auto"/>
              </w:rPr>
            </w:pPr>
            <w:r>
              <w:rPr>
                <w:rFonts w:cs="宋体" w:hint="eastAsia"/>
                <w:color w:val="auto"/>
                <w:kern w:val="0"/>
                <w:sz w:val="20"/>
                <w:szCs w:val="20"/>
              </w:rPr>
              <w:t>自然人</w:t>
            </w:r>
          </w:p>
        </w:tc>
        <w:tc>
          <w:tcPr>
            <w:tcW w:w="3448"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color w:val="auto"/>
              </w:rPr>
            </w:pPr>
            <w:r>
              <w:rPr>
                <w:rFonts w:cs="宋体" w:hint="eastAsia"/>
                <w:color w:val="auto"/>
                <w:kern w:val="0"/>
                <w:sz w:val="20"/>
                <w:szCs w:val="20"/>
              </w:rPr>
              <w:t>法人或其他组织</w:t>
            </w:r>
          </w:p>
        </w:tc>
        <w:tc>
          <w:tcPr>
            <w:tcW w:w="616"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color w:val="auto"/>
              </w:rPr>
            </w:pPr>
            <w:r>
              <w:rPr>
                <w:rFonts w:cs="宋体" w:hint="eastAsia"/>
                <w:color w:val="auto"/>
                <w:kern w:val="0"/>
                <w:sz w:val="20"/>
                <w:szCs w:val="20"/>
              </w:rPr>
              <w:t>总计</w:t>
            </w:r>
          </w:p>
        </w:tc>
      </w:tr>
      <w:tr>
        <w:trPr>
          <w:trHeight w:val="811"/>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color w:val="auto"/>
              </w:rPr>
            </w:pPr>
            <w:r>
              <w:rPr>
                <w:rFonts w:cs="宋体" w:hint="eastAsia"/>
                <w:color w:val="auto"/>
                <w:kern w:val="0"/>
                <w:sz w:val="20"/>
                <w:szCs w:val="20"/>
              </w:rPr>
              <w:t>商业企业</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color w:val="auto"/>
              </w:rPr>
            </w:pPr>
            <w:r>
              <w:rPr>
                <w:rFonts w:cs="宋体" w:hint="eastAsia"/>
                <w:color w:val="auto"/>
                <w:kern w:val="0"/>
                <w:sz w:val="20"/>
                <w:szCs w:val="20"/>
              </w:rPr>
              <w:t>科研机构</w:t>
            </w:r>
          </w:p>
        </w:tc>
        <w:tc>
          <w:tcPr>
            <w:tcW w:w="749"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color w:val="auto"/>
              </w:rPr>
            </w:pPr>
            <w:r>
              <w:rPr>
                <w:rFonts w:cs="宋体" w:hint="eastAsia"/>
                <w:color w:val="auto"/>
                <w:kern w:val="0"/>
                <w:sz w:val="20"/>
                <w:szCs w:val="20"/>
              </w:rPr>
              <w:t>社会公益组织</w:t>
            </w:r>
          </w:p>
        </w:tc>
        <w:tc>
          <w:tcPr>
            <w:tcW w:w="749"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color w:val="auto"/>
              </w:rPr>
            </w:pPr>
            <w:r>
              <w:rPr>
                <w:rFonts w:cs="宋体" w:hint="eastAsia"/>
                <w:color w:val="auto"/>
                <w:kern w:val="0"/>
                <w:sz w:val="20"/>
                <w:szCs w:val="20"/>
              </w:rPr>
              <w:t>法律服务机构</w:t>
            </w:r>
          </w:p>
        </w:tc>
        <w:tc>
          <w:tcPr>
            <w:tcW w:w="600"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color w:val="auto"/>
              </w:rPr>
            </w:pPr>
            <w:r>
              <w:rPr>
                <w:rFonts w:cs="宋体" w:hint="eastAsia"/>
                <w:color w:val="auto"/>
                <w:kern w:val="0"/>
                <w:sz w:val="20"/>
                <w:szCs w:val="20"/>
              </w:rPr>
              <w:t>其他</w:t>
            </w:r>
          </w:p>
        </w:tc>
        <w:tc>
          <w:tcPr>
            <w:tcW w:w="949"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r>
      <w:tr>
        <w:trPr>
          <w:trHeight w:val="491"/>
        </w:trPr>
        <w:tc>
          <w:tcPr>
            <w:tcW w:w="5245"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widowControl/>
              <w:spacing w:after="180" w:line="300" w:lineRule="exact"/>
              <w:jc w:val="left"/>
              <w:rPr>
                <w:color w:val="auto"/>
                <w:sz w:val="24"/>
                <w:szCs w:val="24"/>
              </w:rPr>
            </w:pPr>
            <w:r>
              <w:rPr>
                <w:rFonts w:cs="宋体" w:hint="eastAsia"/>
                <w:color w:val="auto"/>
                <w:kern w:val="0"/>
                <w:sz w:val="24"/>
                <w:szCs w:val="24"/>
              </w:rPr>
              <w:t>一、本年新收政府信息公开申请数量</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1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r>
      <w:tr>
        <w:trPr>
          <w:trHeight w:val="507"/>
        </w:trPr>
        <w:tc>
          <w:tcPr>
            <w:tcW w:w="5245"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widowControl/>
              <w:spacing w:after="180" w:line="300" w:lineRule="exact"/>
              <w:jc w:val="left"/>
              <w:rPr>
                <w:color w:val="auto"/>
                <w:sz w:val="24"/>
                <w:szCs w:val="24"/>
              </w:rPr>
            </w:pPr>
            <w:r>
              <w:rPr>
                <w:rFonts w:cs="宋体" w:hint="eastAsia"/>
                <w:color w:val="auto"/>
                <w:kern w:val="0"/>
                <w:sz w:val="24"/>
                <w:szCs w:val="24"/>
              </w:rPr>
              <w:t>二、上年结转政府信息公开申请数量</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1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r>
      <w:tr>
        <w:trPr>
          <w:trHeight w:val="367"/>
        </w:trPr>
        <w:tc>
          <w:tcPr>
            <w:tcW w:w="1270"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color w:val="auto"/>
                <w:sz w:val="24"/>
                <w:szCs w:val="24"/>
              </w:rPr>
            </w:pPr>
            <w:r>
              <w:rPr>
                <w:rFonts w:cs="宋体" w:hint="eastAsia"/>
                <w:color w:val="auto"/>
                <w:kern w:val="0"/>
                <w:sz w:val="24"/>
                <w:szCs w:val="24"/>
              </w:rPr>
              <w:t>三、本年度办理结果</w:t>
            </w:r>
          </w:p>
        </w:tc>
        <w:tc>
          <w:tcPr>
            <w:tcW w:w="3975"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rPr>
                <w:color w:val="auto"/>
                <w:sz w:val="24"/>
                <w:szCs w:val="24"/>
              </w:rPr>
            </w:pPr>
            <w:r>
              <w:rPr>
                <w:rFonts w:eastAsia="楷体" w:cs="楷体"/>
                <w:color w:val="auto"/>
                <w:kern w:val="0"/>
                <w:sz w:val="24"/>
                <w:szCs w:val="24"/>
              </w:rPr>
              <w:t>（一）予以公开</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1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975"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rPr>
                <w:color w:val="auto"/>
                <w:sz w:val="24"/>
                <w:szCs w:val="24"/>
              </w:rPr>
            </w:pPr>
            <w:r>
              <w:rPr>
                <w:rFonts w:eastAsia="楷体" w:cs="楷体" w:hint="eastAsia"/>
                <w:color w:val="auto"/>
                <w:kern w:val="0"/>
                <w:sz w:val="24"/>
                <w:szCs w:val="24"/>
              </w:rPr>
              <w:t>（二）部分公开（区分处理的，只计这一情形，不计其他情形）</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1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left"/>
              <w:rPr>
                <w:color w:val="auto"/>
                <w:sz w:val="24"/>
                <w:szCs w:val="24"/>
              </w:rPr>
            </w:pPr>
            <w:r>
              <w:rPr>
                <w:rFonts w:eastAsia="楷体" w:cs="楷体" w:hint="eastAsia"/>
                <w:color w:val="auto"/>
                <w:kern w:val="0"/>
                <w:sz w:val="24"/>
                <w:szCs w:val="24"/>
              </w:rPr>
              <w:t>（三）不予公开</w:t>
            </w:r>
          </w:p>
        </w:tc>
        <w:tc>
          <w:tcPr>
            <w:tcW w:w="304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left"/>
              <w:rPr>
                <w:color w:val="auto"/>
                <w:sz w:val="24"/>
                <w:szCs w:val="24"/>
              </w:rPr>
            </w:pPr>
            <w:r>
              <w:rPr>
                <w:rFonts w:eastAsia="楷体" w:cs="楷体" w:hint="eastAsia"/>
                <w:color w:val="auto"/>
                <w:kern w:val="0"/>
                <w:sz w:val="24"/>
                <w:szCs w:val="24"/>
              </w:rPr>
              <w:t>1.属于国家秘密</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1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r>
      <w:tr>
        <w:trPr>
          <w:trHeight w:val="629"/>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304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left"/>
              <w:rPr>
                <w:color w:val="auto"/>
                <w:sz w:val="24"/>
                <w:szCs w:val="24"/>
              </w:rPr>
            </w:pPr>
            <w:r>
              <w:rPr>
                <w:rFonts w:eastAsia="楷体" w:cs="楷体" w:hint="eastAsia"/>
                <w:color w:val="auto"/>
                <w:kern w:val="0"/>
                <w:sz w:val="24"/>
                <w:szCs w:val="24"/>
              </w:rPr>
              <w:t>2.其他法律行政法规禁止公开</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1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304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left"/>
              <w:rPr>
                <w:color w:val="auto"/>
                <w:sz w:val="24"/>
                <w:szCs w:val="24"/>
              </w:rPr>
            </w:pPr>
            <w:r>
              <w:rPr>
                <w:rFonts w:eastAsia="楷体" w:cs="楷体" w:hint="eastAsia"/>
                <w:color w:val="auto"/>
                <w:kern w:val="0"/>
                <w:sz w:val="24"/>
                <w:szCs w:val="24"/>
              </w:rPr>
              <w:t>3.危及“三安全一稳定”</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1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304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left"/>
              <w:rPr>
                <w:color w:val="auto"/>
                <w:sz w:val="24"/>
                <w:szCs w:val="24"/>
              </w:rPr>
            </w:pPr>
            <w:r>
              <w:rPr>
                <w:rFonts w:eastAsia="楷体" w:cs="楷体" w:hint="eastAsia"/>
                <w:color w:val="auto"/>
                <w:kern w:val="0"/>
                <w:sz w:val="24"/>
                <w:szCs w:val="24"/>
              </w:rPr>
              <w:t>4.保护第三方合法权益</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1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r>
      <w:tr>
        <w:trPr>
          <w:trHeight w:val="739"/>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304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left"/>
              <w:rPr>
                <w:color w:val="auto"/>
                <w:sz w:val="24"/>
                <w:szCs w:val="24"/>
              </w:rPr>
            </w:pPr>
            <w:r>
              <w:rPr>
                <w:rFonts w:eastAsia="楷体" w:cs="楷体" w:hint="eastAsia"/>
                <w:color w:val="auto"/>
                <w:kern w:val="0"/>
                <w:sz w:val="24"/>
                <w:szCs w:val="24"/>
              </w:rPr>
              <w:t>5.属于三类内部事务信息</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1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304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left"/>
              <w:rPr>
                <w:color w:val="auto"/>
                <w:sz w:val="24"/>
                <w:szCs w:val="24"/>
              </w:rPr>
            </w:pPr>
            <w:r>
              <w:rPr>
                <w:rFonts w:eastAsia="楷体" w:cs="楷体" w:hint="eastAsia"/>
                <w:color w:val="auto"/>
                <w:kern w:val="0"/>
                <w:sz w:val="24"/>
                <w:szCs w:val="24"/>
              </w:rPr>
              <w:t>6.属于四类过程性信息</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1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304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left"/>
              <w:rPr>
                <w:color w:val="auto"/>
                <w:sz w:val="24"/>
                <w:szCs w:val="24"/>
              </w:rPr>
            </w:pPr>
            <w:r>
              <w:rPr>
                <w:rFonts w:eastAsia="楷体" w:cs="楷体" w:hint="eastAsia"/>
                <w:color w:val="auto"/>
                <w:kern w:val="0"/>
                <w:sz w:val="24"/>
                <w:szCs w:val="24"/>
              </w:rPr>
              <w:t>7.属于行政执法案卷</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1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304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left"/>
              <w:rPr>
                <w:color w:val="auto"/>
                <w:sz w:val="24"/>
                <w:szCs w:val="24"/>
              </w:rPr>
            </w:pPr>
            <w:r>
              <w:rPr>
                <w:rFonts w:eastAsia="楷体" w:cs="楷体" w:hint="eastAsia"/>
                <w:color w:val="auto"/>
                <w:kern w:val="0"/>
                <w:sz w:val="24"/>
                <w:szCs w:val="24"/>
              </w:rPr>
              <w:t>8.属于行政查询事项</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1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left"/>
              <w:rPr>
                <w:color w:val="auto"/>
                <w:sz w:val="24"/>
                <w:szCs w:val="24"/>
              </w:rPr>
            </w:pPr>
            <w:r>
              <w:rPr>
                <w:rFonts w:eastAsia="楷体" w:cs="楷体" w:hint="eastAsia"/>
                <w:color w:val="auto"/>
                <w:kern w:val="0"/>
                <w:sz w:val="24"/>
                <w:szCs w:val="24"/>
              </w:rPr>
              <w:t>（四）无法提供</w:t>
            </w:r>
          </w:p>
        </w:tc>
        <w:tc>
          <w:tcPr>
            <w:tcW w:w="304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left"/>
              <w:rPr>
                <w:color w:val="auto"/>
                <w:sz w:val="24"/>
                <w:szCs w:val="24"/>
              </w:rPr>
            </w:pPr>
            <w:r>
              <w:rPr>
                <w:rFonts w:eastAsia="楷体" w:cs="楷体" w:hint="eastAsia"/>
                <w:color w:val="auto"/>
                <w:kern w:val="0"/>
                <w:sz w:val="24"/>
                <w:szCs w:val="24"/>
              </w:rPr>
              <w:t>1.本机关不掌握相关政府信息</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1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304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left"/>
              <w:rPr>
                <w:color w:val="auto"/>
                <w:sz w:val="24"/>
                <w:szCs w:val="24"/>
              </w:rPr>
            </w:pPr>
            <w:r>
              <w:rPr>
                <w:rFonts w:eastAsia="楷体" w:cs="楷体" w:hint="eastAsia"/>
                <w:color w:val="auto"/>
                <w:kern w:val="0"/>
                <w:sz w:val="24"/>
                <w:szCs w:val="24"/>
              </w:rPr>
              <w:t>2.没有现成信息需要另行制作</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1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r>
      <w:tr>
        <w:trPr>
          <w:trHeight w:val="773"/>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304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left"/>
              <w:rPr>
                <w:color w:val="auto"/>
                <w:sz w:val="24"/>
                <w:szCs w:val="24"/>
              </w:rPr>
            </w:pPr>
            <w:r>
              <w:rPr>
                <w:rFonts w:eastAsia="楷体" w:cs="楷体" w:hint="eastAsia"/>
                <w:color w:val="auto"/>
                <w:kern w:val="0"/>
                <w:sz w:val="24"/>
                <w:szCs w:val="24"/>
              </w:rPr>
              <w:t>3.补正后申请内容仍不明确</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1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left"/>
              <w:rPr>
                <w:color w:val="auto"/>
                <w:sz w:val="24"/>
                <w:szCs w:val="24"/>
              </w:rPr>
            </w:pPr>
            <w:r>
              <w:rPr>
                <w:rFonts w:eastAsia="楷体" w:cs="楷体" w:hint="eastAsia"/>
                <w:color w:val="auto"/>
                <w:kern w:val="0"/>
                <w:sz w:val="24"/>
                <w:szCs w:val="24"/>
              </w:rPr>
              <w:t>（五）不予处理</w:t>
            </w:r>
          </w:p>
        </w:tc>
        <w:tc>
          <w:tcPr>
            <w:tcW w:w="304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left"/>
              <w:rPr>
                <w:color w:val="auto"/>
                <w:sz w:val="24"/>
                <w:szCs w:val="24"/>
              </w:rPr>
            </w:pPr>
            <w:r>
              <w:rPr>
                <w:rFonts w:eastAsia="楷体" w:cs="楷体" w:hint="eastAsia"/>
                <w:color w:val="auto"/>
                <w:kern w:val="0"/>
                <w:sz w:val="24"/>
                <w:szCs w:val="24"/>
              </w:rPr>
              <w:t>1.信访举报投诉类申请</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1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304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left"/>
              <w:rPr>
                <w:color w:val="auto"/>
                <w:sz w:val="24"/>
                <w:szCs w:val="24"/>
              </w:rPr>
            </w:pPr>
            <w:r>
              <w:rPr>
                <w:rFonts w:eastAsia="楷体" w:cs="楷体" w:hint="eastAsia"/>
                <w:color w:val="auto"/>
                <w:kern w:val="0"/>
                <w:sz w:val="24"/>
                <w:szCs w:val="24"/>
              </w:rPr>
              <w:t>2.重复申请</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1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304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left"/>
              <w:rPr>
                <w:color w:val="auto"/>
                <w:sz w:val="24"/>
                <w:szCs w:val="24"/>
              </w:rPr>
            </w:pPr>
            <w:r>
              <w:rPr>
                <w:rFonts w:eastAsia="楷体" w:cs="楷体" w:hint="eastAsia"/>
                <w:color w:val="auto"/>
                <w:kern w:val="0"/>
                <w:sz w:val="24"/>
                <w:szCs w:val="24"/>
              </w:rPr>
              <w:t>3.要求提供公开出版物</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1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304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left"/>
              <w:rPr>
                <w:color w:val="auto"/>
                <w:sz w:val="24"/>
                <w:szCs w:val="24"/>
              </w:rPr>
            </w:pPr>
            <w:r>
              <w:rPr>
                <w:rFonts w:eastAsia="楷体" w:cs="楷体" w:hint="eastAsia"/>
                <w:color w:val="auto"/>
                <w:kern w:val="0"/>
                <w:sz w:val="24"/>
                <w:szCs w:val="24"/>
              </w:rPr>
              <w:t>4.无正当理由大量反复申请</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1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304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left"/>
              <w:rPr>
                <w:color w:val="auto"/>
                <w:sz w:val="24"/>
                <w:szCs w:val="24"/>
              </w:rPr>
            </w:pPr>
            <w:r>
              <w:rPr>
                <w:rFonts w:eastAsia="楷体" w:cs="楷体" w:hint="eastAsia"/>
                <w:color w:val="auto"/>
                <w:kern w:val="0"/>
                <w:sz w:val="24"/>
                <w:szCs w:val="24"/>
              </w:rPr>
              <w:t>5.要求行政机关确认或重新出具已获取信息</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1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975"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left"/>
              <w:rPr>
                <w:color w:val="auto"/>
                <w:sz w:val="24"/>
                <w:szCs w:val="24"/>
              </w:rPr>
            </w:pPr>
            <w:r>
              <w:rPr>
                <w:rFonts w:eastAsia="楷体" w:cs="楷体" w:hint="eastAsia"/>
                <w:color w:val="auto"/>
                <w:kern w:val="0"/>
                <w:sz w:val="24"/>
                <w:szCs w:val="24"/>
              </w:rPr>
              <w:t>（六）其他处理</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1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975"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left"/>
              <w:rPr>
                <w:color w:val="auto"/>
                <w:sz w:val="24"/>
                <w:szCs w:val="24"/>
              </w:rPr>
            </w:pPr>
            <w:r>
              <w:rPr>
                <w:rFonts w:eastAsia="楷体" w:cs="楷体" w:hint="eastAsia"/>
                <w:color w:val="auto"/>
                <w:kern w:val="0"/>
                <w:sz w:val="24"/>
                <w:szCs w:val="24"/>
              </w:rPr>
              <w:t>（七）总计</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1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r>
      <w:tr>
        <w:tc>
          <w:tcPr>
            <w:tcW w:w="5245"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left"/>
              <w:rPr>
                <w:color w:val="auto"/>
              </w:rPr>
            </w:pPr>
            <w:r>
              <w:rPr>
                <w:rFonts w:cs="宋体" w:hint="eastAsia"/>
                <w:color w:val="auto"/>
                <w:kern w:val="0"/>
                <w:sz w:val="24"/>
                <w:szCs w:val="24"/>
              </w:rPr>
              <w:t>四、结转下年度继续办理</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749"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0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c>
          <w:tcPr>
            <w:tcW w:w="61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300" w:lineRule="exact"/>
              <w:jc w:val="center"/>
              <w:rPr>
                <w:sz w:val="24"/>
                <w:szCs w:val="24"/>
              </w:rPr>
            </w:pPr>
            <w:r>
              <w:rPr>
                <w:rFonts w:cs="Calibri"/>
                <w:kern w:val="0"/>
                <w:sz w:val="24"/>
                <w:szCs w:val="24"/>
              </w:rPr>
              <w:t> </w:t>
            </w:r>
            <w:r>
              <w:rPr>
                <w:rFonts w:cs="Calibri" w:hint="eastAsia"/>
                <w:kern w:val="0"/>
                <w:sz w:val="24"/>
                <w:szCs w:val="24"/>
              </w:rPr>
              <w:t>0</w:t>
            </w:r>
          </w:p>
        </w:tc>
      </w:tr>
    </w:tbl>
    <w:p>
      <w:pPr>
        <w:pStyle w:val="45"/>
        <w:widowControl/>
        <w:shd w:val="clear" w:color="auto" w:fill="FFFFFF"/>
        <w:spacing w:beforeAutospacing="0" w:after="240" w:afterAutospacing="0"/>
        <w:ind w:firstLineChars="200" w:firstLine="640"/>
        <w:jc w:val="both"/>
        <w:rPr>
          <w:rFonts w:cs="宋体"/>
          <w:color w:val="auto"/>
          <w:szCs w:val="24"/>
        </w:rPr>
      </w:pPr>
      <w:r>
        <w:rPr>
          <w:rFonts w:eastAsia="方正黑体_GBK" w:cs="楷体_GB2312" w:hint="eastAsia"/>
          <w:bCs/>
          <w:color w:val="auto"/>
          <w:sz w:val="32"/>
          <w:szCs w:val="32"/>
          <w:shd w:val="clear" w:color="auto" w:fill="FFFFFF"/>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行政诉讼</w:t>
            </w:r>
          </w:p>
        </w:tc>
      </w:tr>
      <w:t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结果维持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尚未审结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总计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复议后起诉</w:t>
            </w:r>
          </w:p>
        </w:tc>
      </w:tr>
      <w:t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其他结果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尚未审结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其他结果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总计</w:t>
            </w:r>
          </w:p>
        </w:tc>
      </w:tr>
      <w:t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0 </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0 </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 </w:t>
            </w:r>
            <w:r>
              <w:rPr>
                <w:rFonts w:cs="宋体"/>
                <w:color w:val="auto"/>
                <w:kern w:val="0"/>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 </w:t>
            </w:r>
            <w:r>
              <w:rPr>
                <w:rFonts w:cs="宋体"/>
                <w:color w:val="auto"/>
                <w:kern w:val="0"/>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color w:val="auto"/>
                <w:kern w:val="0"/>
                <w:sz w:val="24"/>
                <w:szCs w:val="24"/>
              </w:rPr>
              <w:t>0</w:t>
            </w:r>
            <w:r>
              <w:rPr>
                <w:rFonts w:cs="宋体" w:hint="eastAsia"/>
                <w:color w:val="auto"/>
                <w:kern w:val="0"/>
                <w:sz w:val="24"/>
                <w:szCs w:val="24"/>
              </w:rPr>
              <w:t> </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 </w:t>
            </w:r>
            <w:r>
              <w:rPr>
                <w:rFonts w:cs="宋体"/>
                <w:color w:val="auto"/>
                <w:kern w:val="0"/>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 </w:t>
            </w:r>
            <w:r>
              <w:rPr>
                <w:rFonts w:cs="宋体"/>
                <w:color w:val="auto"/>
                <w:kern w:val="0"/>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color w:val="auto"/>
                <w:kern w:val="0"/>
                <w:sz w:val="24"/>
                <w:szCs w:val="24"/>
              </w:rPr>
              <w:t>0</w:t>
            </w:r>
            <w:r>
              <w:rPr>
                <w:rFonts w:cs="宋体" w:hint="eastAsia"/>
                <w:color w:val="auto"/>
                <w:kern w:val="0"/>
                <w:sz w:val="24"/>
                <w:szCs w:val="24"/>
              </w:rPr>
              <w:t> </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color w:val="auto"/>
                <w:kern w:val="0"/>
                <w:sz w:val="24"/>
                <w:szCs w:val="24"/>
              </w:rPr>
              <w:t>0</w:t>
            </w:r>
            <w:r>
              <w:rPr>
                <w:rFonts w:cs="宋体" w:hint="eastAsia"/>
                <w:color w:val="auto"/>
                <w:kern w:val="0"/>
                <w:sz w:val="24"/>
                <w:szCs w:val="24"/>
              </w:rPr>
              <w:t> </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 </w:t>
            </w:r>
            <w:r>
              <w:rPr>
                <w:rFonts w:cs="宋体"/>
                <w:color w:val="auto"/>
                <w:kern w:val="0"/>
                <w:sz w:val="24"/>
                <w:szCs w:val="24"/>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 </w:t>
            </w:r>
            <w:r>
              <w:rPr>
                <w:rFonts w:cs="宋体"/>
                <w:color w:val="auto"/>
                <w:kern w:val="0"/>
                <w:sz w:val="24"/>
                <w:szCs w:val="24"/>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jc w:val="center"/>
              <w:rPr>
                <w:color w:val="auto"/>
                <w:sz w:val="24"/>
                <w:szCs w:val="24"/>
              </w:rPr>
            </w:pPr>
            <w:r>
              <w:rPr>
                <w:color w:val="auto"/>
                <w:sz w:val="24"/>
                <w:szCs w:val="24"/>
              </w:rPr>
              <w:t>0</w:t>
            </w:r>
          </w:p>
        </w:tc>
      </w:tr>
    </w:tbl>
    <w:p>
      <w:pPr>
        <w:pStyle w:val="45"/>
        <w:widowControl/>
        <w:shd w:val="clear" w:color="auto" w:fill="FFFFFF"/>
        <w:spacing w:beforeAutospacing="0" w:afterAutospacing="0" w:line="560" w:lineRule="exact"/>
        <w:ind w:firstLineChars="200" w:firstLine="640"/>
        <w:jc w:val="both"/>
        <w:rPr>
          <w:rFonts w:eastAsia="方正仿宋_GBK"/>
          <w:sz w:val="32"/>
          <w:szCs w:val="32"/>
        </w:rPr>
      </w:pPr>
      <w:r>
        <w:rPr>
          <w:rFonts w:eastAsia="方正黑体_GBK" w:cs="楷体_GB2312" w:hint="eastAsia"/>
          <w:bCs/>
          <w:color w:val="auto"/>
          <w:sz w:val="32"/>
          <w:szCs w:val="32"/>
          <w:shd w:val="clear" w:color="auto" w:fill="FFFFFF"/>
        </w:rPr>
        <w:t>五、存在的主要问题及改进情况</w:t>
      </w:r>
    </w:p>
    <w:p>
      <w:pPr>
        <w:pStyle w:val="45"/>
        <w:widowControl/>
        <w:shd w:val="clear" w:color="auto" w:fill="FFFFFF"/>
        <w:spacing w:beforeAutospacing="0" w:afterAutospacing="0" w:line="560" w:lineRule="exact"/>
        <w:ind w:firstLineChars="200" w:firstLine="640"/>
        <w:jc w:val="both"/>
        <w:rPr>
          <w:rFonts w:eastAsia="方正黑体_GBK" w:cs="楷体_GB2312"/>
          <w:bCs/>
          <w:sz w:val="32"/>
          <w:szCs w:val="32"/>
          <w:shd w:val="clear" w:color="auto" w:fill="FFFFFF"/>
        </w:rPr>
      </w:pPr>
      <w:r>
        <w:rPr>
          <w:rFonts w:eastAsia="方正仿宋_GBK" w:hint="eastAsia"/>
          <w:sz w:val="32"/>
          <w:szCs w:val="32"/>
        </w:rPr>
        <w:t>201</w:t>
      </w:r>
      <w:r>
        <w:rPr>
          <w:rFonts w:eastAsia="方正仿宋_GBK"/>
          <w:sz w:val="32"/>
          <w:szCs w:val="32"/>
        </w:rPr>
        <w:t>9</w:t>
      </w:r>
      <w:r>
        <w:rPr>
          <w:rFonts w:eastAsia="方正仿宋_GBK" w:hint="eastAsia"/>
          <w:sz w:val="32"/>
          <w:szCs w:val="32"/>
        </w:rPr>
        <w:t>年，我关的信息公开工作虽然稳步开展，但问题和不足也客观存在，主要表现在：</w:t>
      </w:r>
      <w:r>
        <w:rPr>
          <w:rFonts w:eastAsia="方正仿宋_GBK" w:hint="eastAsia"/>
          <w:b/>
          <w:bCs/>
          <w:sz w:val="32"/>
          <w:szCs w:val="32"/>
        </w:rPr>
        <w:t>一是</w:t>
      </w:r>
      <w:r>
        <w:rPr>
          <w:rFonts w:eastAsia="方正仿宋_GBK" w:hint="eastAsia"/>
          <w:sz w:val="32"/>
          <w:szCs w:val="32"/>
        </w:rPr>
        <w:t>信息公开工作的相关宣传不够到位。申请人对信息公开申请程序不够明确，年内未接受到通过书面、传真等申请方式进行的信息公开申请；</w:t>
      </w:r>
      <w:r>
        <w:rPr>
          <w:rFonts w:eastAsia="方正仿宋_GBK" w:hint="eastAsia"/>
          <w:b/>
          <w:bCs/>
          <w:sz w:val="32"/>
          <w:szCs w:val="32"/>
        </w:rPr>
        <w:t>二是</w:t>
      </w:r>
      <w:r>
        <w:rPr>
          <w:rFonts w:eastAsia="方正仿宋_GBK"/>
          <w:sz w:val="32"/>
          <w:szCs w:val="32"/>
        </w:rPr>
        <w:t>政府信息主动公开范围不够，未根据最新《中华人民共和国政府信息公开条例》及时调整</w:t>
      </w:r>
      <w:r>
        <w:rPr>
          <w:rFonts w:eastAsia="方正仿宋_GBK" w:hint="eastAsia"/>
          <w:sz w:val="32"/>
          <w:szCs w:val="32"/>
        </w:rPr>
        <w:t>。</w:t>
      </w:r>
    </w:p>
    <w:p>
      <w:pPr>
        <w:pStyle w:val="50"/>
        <w:autoSpaceDN w:val="0"/>
        <w:spacing w:line="560" w:lineRule="exact"/>
        <w:ind w:firstLineChars="200" w:firstLine="640"/>
        <w:rPr>
          <w:rFonts w:eastAsia="方正仿宋_GBK" w:hint="eastAsia"/>
          <w:sz w:val="32"/>
          <w:szCs w:val="32"/>
        </w:rPr>
      </w:pPr>
      <w:r>
        <w:rPr>
          <w:rFonts w:eastAsia="方正仿宋_GBK" w:hint="eastAsia"/>
          <w:sz w:val="32"/>
          <w:szCs w:val="32"/>
        </w:rPr>
        <w:t>为进一步做好信息公开工作，我关将在今后的工作中将采取以下措施：</w:t>
      </w:r>
      <w:r>
        <w:rPr>
          <w:rFonts w:eastAsia="方正仿宋_GBK" w:hint="eastAsia"/>
          <w:b/>
          <w:bCs/>
          <w:sz w:val="32"/>
          <w:szCs w:val="32"/>
        </w:rPr>
        <w:t>一是</w:t>
      </w:r>
      <w:r>
        <w:rPr>
          <w:rFonts w:eastAsia="方正仿宋_GBK" w:hint="eastAsia"/>
          <w:sz w:val="32"/>
          <w:szCs w:val="32"/>
        </w:rPr>
        <w:t>提高认识，努力规范工作流程。按照《条例》要求，梳理所掌握的</w:t>
      </w:r>
      <w:r>
        <w:rPr>
          <w:rFonts w:eastAsia="方正仿宋_GBK"/>
          <w:sz w:val="32"/>
          <w:szCs w:val="32"/>
        </w:rPr>
        <w:t>相关</w:t>
      </w:r>
      <w:r>
        <w:rPr>
          <w:rFonts w:eastAsia="方正仿宋_GBK" w:hint="eastAsia"/>
          <w:sz w:val="32"/>
          <w:szCs w:val="32"/>
        </w:rPr>
        <w:t>信息，及时提供、定期更新，确保海关信息公开工作能按照既定的工作流程有效运作，方便公众查询；</w:t>
      </w:r>
      <w:r>
        <w:rPr>
          <w:rFonts w:eastAsia="方正仿宋_GBK" w:hint="eastAsia"/>
          <w:b/>
          <w:bCs/>
          <w:sz w:val="32"/>
          <w:szCs w:val="32"/>
        </w:rPr>
        <w:t>二是</w:t>
      </w:r>
      <w:r>
        <w:rPr>
          <w:rFonts w:eastAsia="方正仿宋_GBK" w:hint="eastAsia"/>
          <w:sz w:val="32"/>
          <w:szCs w:val="32"/>
        </w:rPr>
        <w:t>认真梳理，扩大公开内容。加强对原有海关信息公开目录的补充完善，保证公开信息的完整性和准确性；</w:t>
      </w:r>
      <w:r>
        <w:rPr>
          <w:rFonts w:eastAsia="方正仿宋_GBK" w:hint="eastAsia"/>
          <w:b/>
          <w:bCs/>
          <w:sz w:val="32"/>
          <w:szCs w:val="32"/>
        </w:rPr>
        <w:t>三是</w:t>
      </w:r>
      <w:r>
        <w:rPr>
          <w:rFonts w:eastAsia="方正仿宋_GBK" w:hint="eastAsia"/>
          <w:sz w:val="32"/>
          <w:szCs w:val="32"/>
        </w:rPr>
        <w:t>拓宽海关信息的获取渠道，加强宣传，方便公众了解相关政策，进一步提高</w:t>
      </w:r>
      <w:r>
        <w:rPr>
          <w:rFonts w:eastAsia="方正仿宋_GBK"/>
          <w:sz w:val="32"/>
          <w:szCs w:val="32"/>
        </w:rPr>
        <w:t>信息</w:t>
      </w:r>
      <w:r>
        <w:rPr>
          <w:rFonts w:eastAsia="方正仿宋_GBK" w:hint="eastAsia"/>
          <w:sz w:val="32"/>
          <w:szCs w:val="32"/>
        </w:rPr>
        <w:t>公开程度。</w:t>
      </w:r>
      <w:bookmarkStart w:id="0" w:name="_GoBack"/>
      <w:bookmarkEnd w:id="0"/>
    </w:p>
    <w:sectPr>
      <w:footerReference w:type="default" r:id="rId2"/>
      <w:footerReference w:type="even" r:id="rId3"/>
      <w:pgSz w:w="11906" w:h="16838"/>
      <w:pgMar w:top="2098" w:right="1474" w:bottom="1871" w:left="1588" w:header="851" w:footer="992" w:gutter="0"/>
      <w:titlePg/>
      <w:docGrid w:type="lines" w:linePitch="408" w:charSpace="0"/>
    </w:sectPr>
  </w:body>
</w:document>
</file>

<file path=word/fontTable.xml><?xml version="1.0" encoding="utf-8"?>
<w:fonts xmlns:w="http://schemas.openxmlformats.org/wordprocessingml/2006/main" xmlns:r="http://schemas.openxmlformats.org/officeDocument/2006/relationships">
  <w:font w:name="仿宋_GB2312">
    <w:altName w:val="仿宋"/>
    <w:panose1 w:val="02010609030101010101"/>
    <w:charset w:val="86"/>
    <w:family w:val="modern"/>
    <w:pitch w:val="variable"/>
    <w:sig w:usb0="00000001" w:usb1="080E0000" w:usb2="00000000" w:usb3="00000000" w:csb0="00040000" w:csb1="00000000"/>
  </w:font>
  <w:font w:name="方正小标宋_GBK">
    <w:panose1 w:val="03000509000000000000"/>
    <w:charset w:val="86"/>
    <w:family w:val="script"/>
    <w:pitch w:val="variable"/>
    <w:sig w:usb0="00000001" w:usb1="080E0000" w:usb2="00000000" w:usb3="00000000" w:csb0="00040000" w:csb1="00000000"/>
  </w:font>
  <w:font w:name="楷体_GB2312">
    <w:altName w:val="楷体"/>
    <w:panose1 w:val="02010609030101010101"/>
    <w:charset w:val="86"/>
    <w:family w:val="modern"/>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20007A87" w:usb1="80000000" w:usb2="00000008" w:usb3="00000000" w:csb0="000001FF" w:csb1="00000000"/>
  </w:font>
  <w:font w:name="Calibri">
    <w:panose1 w:val="020F0502020204030204"/>
    <w:charset w:val="00"/>
    <w:family w:val="swiss"/>
    <w:pitch w:val="variable"/>
    <w:sig w:usb0="E00002FF" w:usb1="4000ACFF" w:usb2="00000001" w:usb3="00000000" w:csb0="2000019F" w:csb1="00000000"/>
  </w:font>
  <w:font w:name="宋体">
    <w:panose1 w:val="02010600030101010101"/>
    <w:charset w:val="86"/>
    <w:family w:val="auto"/>
    <w:pitch w:val="variable"/>
    <w:sig w:usb0="00000003" w:usb1="288F0000" w:usb2="00000006" w:usb3="00000000" w:csb0="00040001" w:csb1="00000000"/>
  </w:font>
  <w:font w:name="楷体">
    <w:panose1 w:val="02010609060101010101"/>
    <w:charset w:val="86"/>
    <w:family w:val="modern"/>
    <w:pitch w:val="variable"/>
    <w:sig w:usb0="800002BF" w:usb1="38CF7CFA" w:usb2="00000016" w:usb3="00000000" w:csb0="00040001" w:csb1="00000000"/>
  </w:font>
  <w:font w:name="SimSun">
    <w:panose1 w:val="00000000000000000000"/>
    <w:charset w:val="00"/>
    <w:family w:val="auto"/>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tabs>
        <w:tab w:val="center" w:pos="4153"/>
        <w:tab w:val="right" w:pos="8306"/>
      </w:tabs>
      <w:jc w:val="right"/>
    </w:pPr>
    <w:r>
      <w:rPr>
        <w:rFonts w:ascii="仿宋_GB2312" w:eastAsia="仿宋_GB2312" w:hint="eastAsia"/>
        <w:sz w:val="30"/>
        <w:szCs w:val="30"/>
      </w:rPr>
      <w:t>—</w:t>
    </w:r>
    <w:r>
      <w:rPr>
        <w:rFonts w:ascii="仿宋_GB2312" w:eastAsia="仿宋_GB2312" w:hint="eastAsia"/>
        <w:sz w:val="30"/>
        <w:szCs w:val="30"/>
      </w:rPr>
      <w:fldChar w:fldCharType="begin"/>
    </w:r>
    <w:r>
      <w:rPr>
        <w:rFonts w:ascii="仿宋_GB2312" w:eastAsia="仿宋_GB2312" w:hint="eastAsia"/>
        <w:sz w:val="30"/>
        <w:szCs w:val="30"/>
      </w:rPr>
      <w:instrText xml:space="preserve"> PAGE   \* MERGEFORMAT </w:instrText>
    </w:r>
    <w:r>
      <w:rPr>
        <w:rFonts w:ascii="仿宋_GB2312" w:eastAsia="仿宋_GB2312" w:hint="eastAsia"/>
        <w:sz w:val="30"/>
        <w:szCs w:val="30"/>
      </w:rPr>
      <w:fldChar w:fldCharType="separate"/>
    </w:r>
    <w:r>
      <w:rPr>
        <w:rFonts w:ascii="仿宋_GB2312" w:eastAsia="仿宋_GB2312"/>
        <w:sz w:val="30"/>
        <w:szCs w:val="30"/>
        <w:lang w:val="zh-CN"/>
      </w:rPr>
      <w:t>3</w:t>
    </w:r>
    <w:r>
      <w:rPr>
        <w:rFonts w:ascii="仿宋_GB2312" w:eastAsia="仿宋_GB2312" w:hint="eastAsia"/>
        <w:sz w:val="30"/>
        <w:szCs w:val="30"/>
      </w:rPr>
      <w:fldChar w:fldCharType="end"/>
    </w:r>
    <w:r>
      <w:rPr>
        <w:rFonts w:ascii="仿宋_GB2312" w:eastAsia="仿宋_GB2312" w:hint="eastAsia"/>
        <w:sz w:val="30"/>
        <w:szCs w:val="30"/>
      </w:rPr>
      <w:t>—</w:t>
    </w:r>
  </w:p>
  <w:p>
    <w:pPr>
      <w:pStyle w:val="15"/>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tabs>
        <w:tab w:val="center" w:pos="4153"/>
        <w:tab w:val="right" w:pos="8306"/>
      </w:tabs>
      <w:jc w:val="left"/>
    </w:pPr>
    <w:r>
      <w:rPr>
        <w:rFonts w:ascii="仿宋_GB2312" w:eastAsia="仿宋_GB2312" w:hint="eastAsia"/>
        <w:sz w:val="30"/>
        <w:szCs w:val="30"/>
      </w:rPr>
      <w:t>—</w:t>
    </w:r>
    <w:r>
      <w:rPr>
        <w:rFonts w:ascii="仿宋_GB2312" w:eastAsia="仿宋_GB2312" w:hint="eastAsia"/>
        <w:sz w:val="30"/>
        <w:szCs w:val="30"/>
      </w:rPr>
      <w:fldChar w:fldCharType="begin"/>
    </w:r>
    <w:r>
      <w:rPr>
        <w:rFonts w:ascii="仿宋_GB2312" w:eastAsia="仿宋_GB2312" w:hint="eastAsia"/>
        <w:sz w:val="30"/>
        <w:szCs w:val="30"/>
      </w:rPr>
      <w:instrText xml:space="preserve"> PAGE   \* MERGEFORMAT </w:instrText>
    </w:r>
    <w:r>
      <w:rPr>
        <w:rFonts w:ascii="仿宋_GB2312" w:eastAsia="仿宋_GB2312" w:hint="eastAsia"/>
        <w:sz w:val="30"/>
        <w:szCs w:val="30"/>
      </w:rPr>
      <w:fldChar w:fldCharType="separate"/>
    </w:r>
    <w:r>
      <w:rPr>
        <w:rFonts w:ascii="仿宋_GB2312" w:eastAsia="仿宋_GB2312"/>
        <w:sz w:val="30"/>
        <w:szCs w:val="30"/>
        <w:lang w:val="zh-CN"/>
      </w:rPr>
      <w:t>2</w:t>
    </w:r>
    <w:r>
      <w:rPr>
        <w:rFonts w:ascii="仿宋_GB2312" w:eastAsia="仿宋_GB2312" w:hint="eastAsia"/>
        <w:sz w:val="30"/>
        <w:szCs w:val="30"/>
      </w:rPr>
      <w:fldChar w:fldCharType="end"/>
    </w:r>
    <w:r>
      <w:rPr>
        <w:rFonts w:ascii="仿宋_GB2312" w:eastAsia="仿宋_GB2312" w:hint="eastAsia"/>
        <w:sz w:val="30"/>
        <w:szCs w:val="30"/>
      </w:rPr>
      <w:t>—</w:t>
    </w:r>
  </w:p>
  <w:p>
    <w:pPr>
      <w:pStyle w:val="15"/>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trackRevisions/>
  <w:defaultTabStop w:val="420"/>
  <w:drawingGridHorizontalSpacing w:val="15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30"/>
      <w:szCs w:val="30"/>
      <w:lang w:val="en-US" w:eastAsia="zh-CN" w:bidi="ar-SA"/>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Normal (Web)"/>
    <w:basedOn w:val="0"/>
    <w:pPr>
      <w:spacing w:beforeAutospacing="1" w:afterAutospacing="1"/>
      <w:jc w:val="left"/>
    </w:pPr>
    <w:rPr>
      <w:kern w:val="0"/>
      <w:sz w:val="24"/>
    </w:rPr>
  </w:style>
  <w:style w:type="paragraph" w:styleId="17">
    <w:name w:val="toc 8"/>
    <w:basedOn w:val="0"/>
    <w:autoRedefine/>
    <w:next w:val="0"/>
    <w:pPr>
      <w:ind w:left="2940"/>
    </w:pPr>
  </w:style>
  <w:style w:type="paragraph" w:styleId="18">
    <w:name w:val="toc 9"/>
    <w:basedOn w:val="0"/>
    <w:autoRedefine/>
    <w:next w:val="0"/>
    <w:pPr>
      <w:ind w:left="3360"/>
    </w:pPr>
  </w:style>
  <w:style w:type="paragraph" w:customStyle="1" w:styleId="19">
    <w:name w:val="样式 小三"/>
    <w:pPr>
      <w:widowControl w:val="0"/>
      <w:jc w:val="both"/>
    </w:pPr>
    <w:rPr>
      <w:rFonts w:ascii="Times New Roman" w:eastAsia="宋体" w:cs="Times New Roman" w:hAnsi="Times New Roman"/>
      <w:kern w:val="2"/>
      <w:sz w:val="30"/>
      <w:szCs w:val="30"/>
      <w:lang w:val="en-US" w:eastAsia="zh-CN" w:bidi="ar-SA"/>
    </w:rPr>
  </w:style>
  <w:style w:type="paragraph" w:customStyle="1" w:styleId="20">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21">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22">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23">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24">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25">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26">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27">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28">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29">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30">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31">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32">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33">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34">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36">
    <w:name w:val="样式 1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37">
    <w:name w:val="样式 8 小四"/>
    <w:next w:val="17"/>
    <w:rPr>
      <w:rFonts w:ascii="Times New Roman" w:eastAsia="SimSun" w:cs="Times New Roman" w:hAnsi="Times New Roman"/>
      <w:sz w:val="24"/>
      <w:szCs w:val="24"/>
      <w:lang w:val="en-US" w:eastAsia="en-US" w:bidi="ar-SA"/>
    </w:rPr>
  </w:style>
  <w:style w:type="paragraph" w:customStyle="1" w:styleId="38">
    <w:name w:val="样式 9 小四"/>
    <w:next w:val="18"/>
    <w:rPr>
      <w:rFonts w:ascii="Times New Roman" w:eastAsia="SimSun" w:cs="Times New Roman" w:hAnsi="Times New Roman"/>
      <w:sz w:val="24"/>
      <w:szCs w:val="24"/>
      <w:lang w:val="en-US" w:eastAsia="en-US" w:bidi="ar-SA"/>
    </w:rPr>
  </w:style>
  <w:style w:type="paragraph" w:customStyle="1" w:styleId="39">
    <w:name w:val="样式 2 小四"/>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9"/>
    </w:pPr>
    <w:rPr>
      <w:rFonts w:ascii="Times New Roman" w:eastAsia="宋体" w:cs="Times New Roman" w:hAnsi="Times New Roman"/>
      <w:snapToGrid/>
      <w:color w:val="auto"/>
      <w:spacing w:val="0"/>
      <w:w w:val="100"/>
      <w:kern w:val="0"/>
      <w:position w:val="0"/>
      <w:sz w:val="24"/>
      <w:szCs w:val="30"/>
      <w:u w:val="none" w:color="auto"/>
      <w:bdr w:val="none" w:sz="0" w:space="0" w:color="auto"/>
      <w:vertAlign w:val="baseline"/>
      <w:em w:val="none"/>
      <w:lang w:val="en-US" w:eastAsia="zh-CN" w:bidi="ar-SA"/>
    </w:rPr>
  </w:style>
  <w:style w:type="paragraph" w:customStyle="1" w:styleId="40">
    <w:name w:val="样式 3 小四"/>
    <w:rPr>
      <w:rFonts w:ascii="Times New Roman" w:eastAsia="SimSun" w:cs="Times New Roman" w:hAnsi="Times New Roman"/>
      <w:sz w:val="24"/>
      <w:szCs w:val="24"/>
      <w:lang w:val="en-US" w:eastAsia="en-US" w:bidi="ar-SA"/>
    </w:rPr>
  </w:style>
  <w:style w:type="paragraph" w:customStyle="1" w:styleId="41">
    <w:name w:val="样式 4 小四"/>
    <w:rPr>
      <w:rFonts w:ascii="Times New Roman" w:eastAsia="SimSun" w:cs="Times New Roman" w:hAnsi="Times New Roman"/>
      <w:sz w:val="24"/>
      <w:szCs w:val="24"/>
      <w:lang w:val="en-US" w:eastAsia="en-US" w:bidi="ar-SA"/>
    </w:rPr>
  </w:style>
  <w:style w:type="paragraph" w:customStyle="1" w:styleId="42">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5 10 磅"/>
    <w:next w:val="16"/>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2"/>
      <w:position w:val="0"/>
      <w:sz w:val="21"/>
      <w:szCs w:val="22"/>
      <w:u w:val="none" w:color="auto"/>
      <w:bdr w:val="none" w:sz="0" w:space="0" w:color="auto"/>
      <w:vertAlign w:val="baseline"/>
      <w:em w:val="none"/>
      <w:lang w:val="en-US" w:eastAsia="zh-CN" w:bidi="ar-SA"/>
    </w:rPr>
  </w:style>
  <w:style w:type="paragraph" w:customStyle="1" w:styleId="44">
    <w:name w:val="样式 5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45">
    <w:name w:val="样式 6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46">
    <w:name w:val="样式 7 小四"/>
    <w:rPr>
      <w:rFonts w:ascii="Times New Roman" w:eastAsia="SimSun" w:cs="Times New Roman" w:hAnsi="Times New Roman"/>
      <w:sz w:val="24"/>
      <w:szCs w:val="24"/>
      <w:lang w:val="en-US" w:eastAsia="en-US" w:bidi="ar-SA"/>
    </w:rPr>
  </w:style>
  <w:style w:type="paragraph" w:customStyle="1" w:styleId="47">
    <w:name w:val="样式 10 小四"/>
    <w:rPr>
      <w:rFonts w:ascii="Times New Roman" w:eastAsia="SimSun" w:cs="Times New Roman" w:hAnsi="Times New Roman"/>
      <w:sz w:val="24"/>
      <w:szCs w:val="24"/>
      <w:lang w:val="en-US" w:eastAsia="en-US" w:bidi="ar-SA"/>
    </w:rPr>
  </w:style>
  <w:style w:type="paragraph" w:customStyle="1" w:styleId="48">
    <w:name w:val="样式 15 小三"/>
    <w:pPr>
      <w:widowControl w:val="0"/>
      <w:ind w:left="3360"/>
      <w:jc w:val="both"/>
    </w:pPr>
    <w:rPr>
      <w:rFonts w:ascii="Times New Roman" w:eastAsia="宋体" w:cs="Times New Roman" w:hAnsi="Times New Roman"/>
      <w:kern w:val="2"/>
      <w:sz w:val="30"/>
      <w:szCs w:val="30"/>
      <w:lang w:val="en-US" w:eastAsia="zh-CN" w:bidi="ar-SA"/>
    </w:rPr>
  </w:style>
  <w:style w:type="paragraph" w:customStyle="1" w:styleId="49">
    <w:name w:val="样式 2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2"/>
      <w:position w:val="0"/>
      <w:sz w:val="21"/>
      <w:szCs w:val="22"/>
      <w:u w:val="none" w:color="auto"/>
      <w:bdr w:val="none" w:sz="0" w:space="0" w:color="auto"/>
      <w:vertAlign w:val="baseline"/>
      <w:em w:val="none"/>
      <w:lang w:val="en-US" w:eastAsia="zh-CN" w:bidi="ar-SA"/>
    </w:rPr>
  </w:style>
  <w:style w:type="paragraph" w:customStyle="1" w:styleId="50">
    <w:name w:val="样式 3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222</TotalTime>
  <Application>Yozo_Office</Application>
  <Pages>6</Pages>
  <Words>2405</Words>
  <Characters>2443</Characters>
  <Lines>418</Lines>
  <Paragraphs>300</Paragraphs>
  <CharactersWithSpaces>2647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ldd</dc:creator>
  <cp:lastModifiedBy>李亚莅</cp:lastModifiedBy>
  <cp:revision>0</cp:revision>
  <dcterms:created xsi:type="dcterms:W3CDTF">2019-11-29T07:41:00Z</dcterms:created>
  <dcterms:modified xsi:type="dcterms:W3CDTF">2020-01-21T08:06:40Z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2052-10.8.2.6990</vt:lpwstr>
  </property>
</Properties>
</file>