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80" w:lineRule="exact"/>
        <w:jc w:val="center"/>
        <w:rPr>
          <w:rFonts w:eastAsia="方正小标宋_GBK" w:cs="方正小标宋_GBK"/>
          <w:sz w:val="44"/>
          <w:szCs w:val="44"/>
        </w:rPr>
      </w:pPr>
      <w:bookmarkStart w:id="0" w:name="_Hlk25540369"/>
      <w:r>
        <w:rPr>
          <w:rFonts w:eastAsia="方正小标宋_GBK" w:cs="方正小标宋_GBK"/>
          <w:sz w:val="44"/>
          <w:szCs w:val="44"/>
        </w:rPr>
        <w:t>桂林海关2019年</w:t>
      </w:r>
      <w:r>
        <w:rPr>
          <w:rFonts w:eastAsia="方正小标宋_GBK" w:cs="方正小标宋_GBK" w:hint="eastAsia"/>
          <w:sz w:val="44"/>
          <w:szCs w:val="44"/>
        </w:rPr>
        <w:t>政府信息公开工作年度报告</w:t>
      </w:r>
      <w:bookmarkEnd w:id="0"/>
    </w:p>
    <w:p>
      <w:pPr>
        <w:spacing w:line="580" w:lineRule="exact"/>
        <w:jc w:val="center"/>
        <w:rPr>
          <w:rFonts w:eastAsia="方正仿宋_GBK" w:cs="方正仿宋_GBK"/>
          <w:sz w:val="32"/>
          <w:szCs w:val="32"/>
        </w:rPr>
      </w:pPr>
    </w:p>
    <w:p>
      <w:pPr>
        <w:pStyle w:val="19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eastAsia="方正仿宋_GBK"/>
          <w:bCs/>
          <w:sz w:val="32"/>
          <w:szCs w:val="32"/>
          <w:shd w:val="clear" w:color="auto" w:fill="FFFFFF"/>
        </w:rPr>
      </w:pPr>
      <w:r>
        <w:rPr>
          <w:rFonts w:eastAsia="方正仿宋_GBK" w:cs="楷体_GB2312"/>
          <w:bCs/>
          <w:sz w:val="32"/>
          <w:szCs w:val="32"/>
          <w:shd w:val="clear" w:color="auto" w:fill="FFFFFF"/>
          <w:lang w:bidi="ar-SA"/>
        </w:rPr>
        <w:t>根据《中华人民共和国政府信息公开条例》（国令711号）要求</w:t>
      </w:r>
      <w:r>
        <w:rPr>
          <w:rFonts w:eastAsia="方正仿宋_GBK"/>
          <w:bCs/>
          <w:sz w:val="32"/>
          <w:szCs w:val="32"/>
          <w:shd w:val="clear" w:color="auto" w:fill="FFFFFF"/>
        </w:rPr>
        <w:t>，现公布201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9</w:t>
      </w:r>
      <w:r>
        <w:rPr>
          <w:rFonts w:eastAsia="方正仿宋_GBK"/>
          <w:bCs/>
          <w:sz w:val="32"/>
          <w:szCs w:val="32"/>
          <w:shd w:val="clear" w:color="auto" w:fill="FFFFFF"/>
        </w:rPr>
        <w:t>年度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桂林海关</w:t>
      </w:r>
      <w:r>
        <w:rPr>
          <w:rFonts w:eastAsia="方正仿宋_GBK"/>
          <w:bCs/>
          <w:sz w:val="32"/>
          <w:szCs w:val="32"/>
          <w:shd w:val="clear" w:color="auto" w:fill="FFFFFF"/>
        </w:rPr>
        <w:t>政府信息公开年度报告。本报告由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总体情况</w:t>
      </w:r>
      <w:r>
        <w:rPr>
          <w:rFonts w:eastAsia="方正仿宋_GBK"/>
          <w:bCs/>
          <w:sz w:val="32"/>
          <w:szCs w:val="32"/>
          <w:shd w:val="clear" w:color="auto" w:fill="FFFFFF"/>
        </w:rPr>
        <w:t>、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主动公开政府信息情况</w:t>
      </w:r>
      <w:r>
        <w:rPr>
          <w:rFonts w:eastAsia="方正仿宋_GBK"/>
          <w:bCs/>
          <w:sz w:val="32"/>
          <w:szCs w:val="32"/>
          <w:shd w:val="clear" w:color="auto" w:fill="FFFFFF"/>
        </w:rPr>
        <w:t>、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收到和处理政府信息公开申请情况</w:t>
      </w:r>
      <w:r>
        <w:rPr>
          <w:rFonts w:eastAsia="方正仿宋_GBK"/>
          <w:bCs/>
          <w:sz w:val="32"/>
          <w:szCs w:val="32"/>
          <w:shd w:val="clear" w:color="auto" w:fill="FFFFFF"/>
        </w:rPr>
        <w:t>、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政府信息公开行政复议、行政诉讼情况、存在的主要问题及改进情况</w:t>
      </w:r>
      <w:r>
        <w:rPr>
          <w:rFonts w:eastAsia="方正仿宋_GBK"/>
          <w:bCs/>
          <w:sz w:val="32"/>
          <w:szCs w:val="32"/>
          <w:shd w:val="clear" w:color="auto" w:fill="FFFFFF"/>
        </w:rPr>
        <w:t>等内容。所列数据的统计期限自201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9</w:t>
      </w:r>
      <w:r>
        <w:rPr>
          <w:rFonts w:eastAsia="方正仿宋_GBK"/>
          <w:bCs/>
          <w:sz w:val="32"/>
          <w:szCs w:val="32"/>
          <w:shd w:val="clear" w:color="auto" w:fill="FFFFFF"/>
        </w:rPr>
        <w:t>年1月1日起至12月31日止。</w:t>
      </w:r>
    </w:p>
    <w:p>
      <w:pPr>
        <w:pStyle w:val="19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eastAsia="方正黑体_GBK" w:cs="楷体_GB2312"/>
          <w:bCs/>
          <w:sz w:val="32"/>
          <w:szCs w:val="32"/>
          <w:shd w:val="clear" w:color="auto" w:fill="FFFFFF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一、总体情况</w:t>
      </w:r>
    </w:p>
    <w:p>
      <w:pPr>
        <w:pStyle w:val="19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rPr>
          <w:rFonts w:eastAsia="方正楷体_GBK"/>
          <w:b/>
          <w:bCs/>
          <w:sz w:val="32"/>
          <w:szCs w:val="32"/>
          <w:shd w:val="clear" w:color="auto" w:fill="FFFFFF"/>
        </w:rPr>
      </w:pPr>
      <w:r>
        <w:rPr>
          <w:rFonts w:eastAsia="方正楷体_GBK" w:hint="eastAsia"/>
          <w:b/>
          <w:bCs/>
          <w:sz w:val="32"/>
          <w:szCs w:val="32"/>
          <w:shd w:val="clear" w:color="auto" w:fill="FFFFFF"/>
        </w:rPr>
        <w:t>（一）加强组织领导，完善相关配套制度。</w:t>
      </w:r>
    </w:p>
    <w:p>
      <w:pPr>
        <w:pStyle w:val="19"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rPr>
          <w:rFonts w:eastAsia="方正仿宋_GBK"/>
          <w:bCs/>
          <w:sz w:val="32"/>
          <w:szCs w:val="32"/>
          <w:shd w:val="clear" w:color="auto" w:fill="FFFFFF"/>
        </w:rPr>
      </w:pPr>
      <w:r>
        <w:rPr>
          <w:rFonts w:eastAsia="方正仿宋_GBK"/>
          <w:bCs/>
          <w:sz w:val="32"/>
          <w:szCs w:val="32"/>
          <w:shd w:val="clear" w:color="auto" w:fill="FFFFFF"/>
        </w:rPr>
        <w:t>按照南宁海关、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地方</w:t>
      </w:r>
      <w:r>
        <w:rPr>
          <w:rFonts w:eastAsia="方正仿宋_GBK"/>
          <w:bCs/>
          <w:sz w:val="32"/>
          <w:szCs w:val="32"/>
          <w:shd w:val="clear" w:color="auto" w:fill="FFFFFF"/>
        </w:rPr>
        <w:t>政府要求，结合辖区实际，及时调整桂林海关政务公开领导小组，完善政务公开机制，有序部署推进辖区政务公开工作。领导小组由一把手任组长，成员扩大到各科室主要负责人。政务公开领导小组下设办公室负责办理辖区政务公开工作具体事务。及时研究学习上级下发的新时期《南宁海关政务公开实施办法》、《南宁海关政务公开考核办法》、《南宁海关政府信息公开工作规程》、《南宁海关政府信息公开保密规程》，保证政府信息公开工作规范化、标准化。完善我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关</w:t>
      </w:r>
      <w:r>
        <w:rPr>
          <w:rFonts w:eastAsia="方正仿宋_GBK"/>
          <w:bCs/>
          <w:sz w:val="32"/>
          <w:szCs w:val="32"/>
          <w:shd w:val="clear" w:color="auto" w:fill="FFFFFF"/>
        </w:rPr>
        <w:t>政府信息公开指南中关于政务公开的监督部门、联系电话和联系地址，方便群众监督。</w:t>
      </w:r>
    </w:p>
    <w:p>
      <w:pPr>
        <w:pStyle w:val="19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rPr>
          <w:rFonts w:eastAsia="方正楷体_GBK"/>
          <w:b/>
          <w:bCs/>
          <w:sz w:val="32"/>
          <w:szCs w:val="32"/>
          <w:shd w:val="clear" w:color="auto" w:fill="FFFFFF"/>
        </w:rPr>
      </w:pPr>
      <w:r>
        <w:rPr>
          <w:rFonts w:eastAsia="方正楷体_GBK" w:hint="eastAsia"/>
          <w:b/>
          <w:bCs/>
          <w:sz w:val="32"/>
          <w:szCs w:val="32"/>
          <w:shd w:val="clear" w:color="auto" w:fill="FFFFFF"/>
        </w:rPr>
        <w:t>（二）加大公示力度，强化权利公开透明运行。</w:t>
      </w:r>
    </w:p>
    <w:p>
      <w:pPr>
        <w:pStyle w:val="19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rPr>
          <w:rFonts w:eastAsia="方正仿宋_GBK"/>
          <w:bCs/>
          <w:sz w:val="32"/>
          <w:szCs w:val="32"/>
          <w:shd w:val="clear" w:color="auto" w:fill="FFFFFF"/>
        </w:rPr>
      </w:pPr>
      <w:r>
        <w:rPr>
          <w:rFonts w:eastAsia="方正仿宋_GBK"/>
          <w:b/>
          <w:bCs/>
          <w:sz w:val="32"/>
          <w:szCs w:val="32"/>
          <w:shd w:val="clear" w:color="auto" w:fill="FFFFFF"/>
        </w:rPr>
        <w:t>一是</w:t>
      </w:r>
      <w:r>
        <w:rPr>
          <w:rFonts w:eastAsia="方正仿宋_GBK"/>
          <w:bCs/>
          <w:sz w:val="32"/>
          <w:szCs w:val="32"/>
          <w:shd w:val="clear" w:color="auto" w:fill="FFFFFF"/>
        </w:rPr>
        <w:t>将政府信息公开要求贯穿海关行政执法全过程，建立完善的行政执法公示制度。充分发挥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桂林地方政府</w:t>
      </w:r>
      <w:r>
        <w:rPr>
          <w:rFonts w:eastAsia="方正仿宋_GBK"/>
          <w:bCs/>
          <w:sz w:val="32"/>
          <w:szCs w:val="32"/>
          <w:shd w:val="clear" w:color="auto" w:fill="FFFFFF"/>
        </w:rPr>
        <w:t>门户网站信息公开第一平台作用，按要求及时公开海关权力和责任清单、行政审批流程图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；</w:t>
      </w:r>
      <w:r>
        <w:rPr>
          <w:rFonts w:eastAsia="方正仿宋_GBK"/>
          <w:bCs/>
          <w:sz w:val="32"/>
          <w:szCs w:val="32"/>
          <w:shd w:val="clear" w:color="auto" w:fill="FFFFFF"/>
        </w:rPr>
        <w:t>着力抓好行政许可信息、行政处罚信息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“</w:t>
      </w:r>
      <w:r>
        <w:rPr>
          <w:rFonts w:eastAsia="方正仿宋_GBK"/>
          <w:bCs/>
          <w:sz w:val="32"/>
          <w:szCs w:val="32"/>
          <w:shd w:val="clear" w:color="auto" w:fill="FFFFFF"/>
        </w:rPr>
        <w:t>双公示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”</w:t>
      </w:r>
      <w:r>
        <w:rPr>
          <w:rFonts w:eastAsia="方正仿宋_GBK"/>
          <w:bCs/>
          <w:sz w:val="32"/>
          <w:szCs w:val="32"/>
          <w:shd w:val="clear" w:color="auto" w:fill="FFFFFF"/>
        </w:rPr>
        <w:t>工作，对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“</w:t>
      </w:r>
      <w:r>
        <w:rPr>
          <w:rFonts w:eastAsia="方正仿宋_GBK"/>
          <w:bCs/>
          <w:sz w:val="32"/>
          <w:szCs w:val="32"/>
          <w:shd w:val="clear" w:color="auto" w:fill="FFFFFF"/>
        </w:rPr>
        <w:t>双公示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”</w:t>
      </w:r>
      <w:r>
        <w:rPr>
          <w:rFonts w:eastAsia="方正仿宋_GBK"/>
          <w:bCs/>
          <w:sz w:val="32"/>
          <w:szCs w:val="32"/>
          <w:shd w:val="clear" w:color="auto" w:fill="FFFFFF"/>
        </w:rPr>
        <w:t>信息的及时性、准确性、规范性进行考核评估。</w:t>
      </w:r>
    </w:p>
    <w:p>
      <w:pPr>
        <w:pStyle w:val="19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rPr>
          <w:rFonts w:eastAsia="方正仿宋_GBK"/>
          <w:bCs/>
          <w:sz w:val="32"/>
          <w:szCs w:val="32"/>
          <w:shd w:val="clear" w:color="auto" w:fill="FFFFFF"/>
        </w:rPr>
      </w:pPr>
      <w:r>
        <w:rPr>
          <w:rFonts w:eastAsia="方正仿宋_GBK"/>
          <w:b/>
          <w:bCs/>
          <w:sz w:val="32"/>
          <w:szCs w:val="32"/>
          <w:shd w:val="clear" w:color="auto" w:fill="FFFFFF"/>
        </w:rPr>
        <w:t>二是</w:t>
      </w:r>
      <w:r>
        <w:rPr>
          <w:rFonts w:eastAsia="方正仿宋_GBK"/>
          <w:bCs/>
          <w:sz w:val="32"/>
          <w:szCs w:val="32"/>
          <w:shd w:val="clear" w:color="auto" w:fill="FFFFFF"/>
        </w:rPr>
        <w:t>全面推进政务数据资源共享和业务协同工作，更好的服务地方经济建设和社会发展。全年累计向桂林市口岸办、统计局和商务局提供数据服务39次，向桂林市市委办公室、政府办公室和发改委等部门机构提供临时性统计数据，全年提供桂林市外贸数据及优化营商数据服务累计10余次；严格按规定向企业提供报关单数据查询服务，累计服务企业查询及分析数据9次，其中成功助力2家企业IPO上市，1家企业申请自治区农产品示范基地。</w:t>
      </w:r>
    </w:p>
    <w:p>
      <w:pPr>
        <w:pStyle w:val="19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rPr>
          <w:rFonts w:eastAsia="方正仿宋_GBK"/>
          <w:bCs/>
          <w:sz w:val="32"/>
          <w:szCs w:val="32"/>
          <w:shd w:val="clear" w:color="auto" w:fill="FFFFFF"/>
        </w:rPr>
      </w:pPr>
      <w:r>
        <w:rPr>
          <w:rFonts w:eastAsia="方正仿宋_GBK" w:hint="eastAsia"/>
          <w:b/>
          <w:bCs/>
          <w:sz w:val="32"/>
          <w:szCs w:val="32"/>
          <w:shd w:val="clear" w:color="auto" w:fill="FFFFFF"/>
        </w:rPr>
        <w:t>三是</w:t>
      </w:r>
      <w:r>
        <w:rPr>
          <w:rFonts w:eastAsia="方正仿宋_GBK"/>
          <w:bCs/>
          <w:sz w:val="32"/>
          <w:szCs w:val="32"/>
          <w:shd w:val="clear" w:color="auto" w:fill="FFFFFF"/>
        </w:rPr>
        <w:t>加强公示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平台</w:t>
      </w:r>
      <w:r>
        <w:rPr>
          <w:rFonts w:eastAsia="方正仿宋_GBK"/>
          <w:bCs/>
          <w:sz w:val="32"/>
          <w:szCs w:val="32"/>
          <w:shd w:val="clear" w:color="auto" w:fill="FFFFFF"/>
        </w:rPr>
        <w:t>建设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。</w:t>
      </w:r>
      <w:r>
        <w:rPr>
          <w:rFonts w:eastAsia="方正仿宋_GBK"/>
          <w:bCs/>
          <w:sz w:val="32"/>
          <w:szCs w:val="32"/>
          <w:shd w:val="clear" w:color="auto" w:fill="FFFFFF"/>
        </w:rPr>
        <w:t>充分利用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地方政府</w:t>
      </w:r>
      <w:r>
        <w:rPr>
          <w:rFonts w:eastAsia="方正仿宋_GBK"/>
          <w:bCs/>
          <w:sz w:val="32"/>
          <w:szCs w:val="32"/>
          <w:shd w:val="clear" w:color="auto" w:fill="FFFFFF"/>
        </w:rPr>
        <w:t>门户网站、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各业务现场LED屏、</w:t>
      </w:r>
      <w:r>
        <w:rPr>
          <w:rFonts w:eastAsia="方正仿宋_GBK"/>
          <w:bCs/>
          <w:sz w:val="32"/>
          <w:szCs w:val="32"/>
          <w:shd w:val="clear" w:color="auto" w:fill="FFFFFF"/>
        </w:rPr>
        <w:t>公告栏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、微信群、QQ群</w:t>
      </w:r>
      <w:r>
        <w:rPr>
          <w:rFonts w:eastAsia="方正仿宋_GBK"/>
          <w:bCs/>
          <w:sz w:val="32"/>
          <w:szCs w:val="32"/>
          <w:shd w:val="clear" w:color="auto" w:fill="FFFFFF"/>
        </w:rPr>
        <w:t>等方式，为各类信息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、海关政策的</w:t>
      </w:r>
      <w:r>
        <w:rPr>
          <w:rFonts w:eastAsia="方正仿宋_GBK"/>
          <w:bCs/>
          <w:sz w:val="32"/>
          <w:szCs w:val="32"/>
          <w:shd w:val="clear" w:color="auto" w:fill="FFFFFF"/>
        </w:rPr>
        <w:t>公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开</w:t>
      </w:r>
      <w:r>
        <w:rPr>
          <w:rFonts w:eastAsia="方正仿宋_GBK"/>
          <w:bCs/>
          <w:sz w:val="32"/>
          <w:szCs w:val="32"/>
          <w:shd w:val="clear" w:color="auto" w:fill="FFFFFF"/>
        </w:rPr>
        <w:t>搭建平台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。</w:t>
      </w:r>
    </w:p>
    <w:p>
      <w:pPr>
        <w:pStyle w:val="19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rPr>
          <w:rFonts w:eastAsia="方正楷体_GBK"/>
          <w:b/>
          <w:bCs/>
          <w:sz w:val="32"/>
          <w:szCs w:val="32"/>
          <w:shd w:val="clear" w:color="auto" w:fill="FFFFFF"/>
        </w:rPr>
      </w:pPr>
      <w:r>
        <w:rPr>
          <w:rFonts w:eastAsia="方正楷体_GBK"/>
          <w:b/>
          <w:bCs/>
          <w:sz w:val="32"/>
          <w:szCs w:val="32"/>
          <w:shd w:val="clear" w:color="auto" w:fill="FFFFFF"/>
        </w:rPr>
        <w:t>（三）拓展公开渠道，提升服务满意度。</w:t>
      </w:r>
    </w:p>
    <w:p>
      <w:pPr>
        <w:pStyle w:val="19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rPr>
          <w:rFonts w:eastAsia="方正仿宋_GBK"/>
          <w:bCs/>
          <w:sz w:val="32"/>
          <w:szCs w:val="32"/>
          <w:shd w:val="clear" w:color="auto" w:fill="FFFFFF"/>
        </w:rPr>
      </w:pPr>
      <w:r>
        <w:rPr>
          <w:rFonts w:eastAsia="方正仿宋_GBK"/>
          <w:b/>
          <w:bCs/>
          <w:sz w:val="32"/>
          <w:szCs w:val="32"/>
          <w:shd w:val="clear" w:color="auto" w:fill="FFFFFF"/>
        </w:rPr>
        <w:t>一是</w:t>
      </w:r>
      <w:r>
        <w:rPr>
          <w:rFonts w:eastAsia="方正仿宋_GBK"/>
          <w:bCs/>
          <w:sz w:val="32"/>
          <w:szCs w:val="32"/>
          <w:shd w:val="clear" w:color="auto" w:fill="FFFFFF"/>
        </w:rPr>
        <w:t>主动对接企业，深入开展调研走访活动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。</w:t>
      </w:r>
      <w:r>
        <w:rPr>
          <w:rFonts w:eastAsia="方正仿宋_GBK"/>
          <w:bCs/>
          <w:sz w:val="32"/>
          <w:szCs w:val="32"/>
          <w:shd w:val="clear" w:color="auto" w:fill="FFFFFF"/>
        </w:rPr>
        <w:t>指导企业用足用好国家优惠政策，及时解决企业的通关过程中遇到实际困难和问题。</w:t>
      </w:r>
      <w:r>
        <w:rPr>
          <w:rFonts w:eastAsia="方正仿宋_GBK" w:hint="eastAsia"/>
          <w:b/>
          <w:bCs/>
          <w:sz w:val="32"/>
          <w:szCs w:val="32"/>
          <w:shd w:val="clear" w:color="auto" w:fill="FFFFFF"/>
        </w:rPr>
        <w:t>二是</w:t>
      </w:r>
      <w:r>
        <w:rPr>
          <w:rFonts w:eastAsia="方正仿宋_GBK"/>
          <w:bCs/>
          <w:sz w:val="32"/>
          <w:szCs w:val="32"/>
          <w:shd w:val="clear" w:color="auto" w:fill="FFFFFF"/>
        </w:rPr>
        <w:t>建立重大项目提前介入机制，积极和口岸海关沟通协调，落实首问负责制、限时办结制和责任追究制，不断提高办事效率，减少企业成本。</w:t>
      </w:r>
      <w:r>
        <w:rPr>
          <w:rFonts w:eastAsia="方正仿宋_GBK" w:hint="eastAsia"/>
          <w:b/>
          <w:bCs/>
          <w:sz w:val="32"/>
          <w:szCs w:val="32"/>
          <w:shd w:val="clear" w:color="auto" w:fill="FFFFFF"/>
        </w:rPr>
        <w:t>三是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是利用报纸、电视台等，扩大宣传范围，营造良好的社会氛围；</w:t>
      </w:r>
      <w:r>
        <w:rPr>
          <w:rFonts w:eastAsia="方正仿宋_GBK" w:hint="eastAsia"/>
          <w:b/>
          <w:bCs/>
          <w:sz w:val="32"/>
          <w:szCs w:val="32"/>
          <w:shd w:val="clear" w:color="auto" w:fill="FFFFFF"/>
        </w:rPr>
        <w:t>四是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积极参与地方政府举办的政务公开、政策宣传板展览等活动，提高市民对海关工作的了解。</w:t>
      </w:r>
    </w:p>
    <w:p>
      <w:pPr>
        <w:pStyle w:val="19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rPr>
          <w:rFonts w:eastAsia="方正仿宋_GBK"/>
          <w:bCs/>
          <w:sz w:val="32"/>
          <w:szCs w:val="32"/>
          <w:shd w:val="clear" w:color="auto" w:fill="FFFFFF"/>
        </w:rPr>
      </w:pPr>
      <w:r>
        <w:rPr>
          <w:rFonts w:eastAsia="方正仿宋_GBK" w:hint="eastAsia"/>
          <w:bCs/>
          <w:sz w:val="32"/>
          <w:szCs w:val="32"/>
          <w:shd w:val="clear" w:color="auto" w:fill="FFFFFF"/>
        </w:rPr>
        <w:t>年内共开展集体宣讲5次，领导带队赴企业走访调研送政策约40次；积极利用本地报纸、新闻媒体等宣传海关政策，年内对外宣传上报约30次；发放各类宣传资料200余份。</w:t>
      </w:r>
    </w:p>
    <w:p>
      <w:pPr>
        <w:pStyle w:val="19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rPr>
          <w:rFonts w:eastAsia="方正楷体_GBK"/>
          <w:b/>
          <w:bCs/>
          <w:sz w:val="32"/>
          <w:szCs w:val="32"/>
          <w:shd w:val="clear" w:color="auto" w:fill="FFFFFF"/>
        </w:rPr>
      </w:pPr>
      <w:r>
        <w:rPr>
          <w:rFonts w:eastAsia="方正楷体_GBK" w:hint="eastAsia"/>
          <w:b/>
          <w:bCs/>
          <w:sz w:val="32"/>
          <w:szCs w:val="32"/>
          <w:shd w:val="clear" w:color="auto" w:fill="FFFFFF"/>
        </w:rPr>
        <w:t>（四）推进政务公开标准化。</w:t>
      </w:r>
    </w:p>
    <w:p>
      <w:pPr>
        <w:pStyle w:val="19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rPr>
          <w:rFonts w:eastAsia="方正仿宋_GBK"/>
          <w:bCs/>
          <w:sz w:val="32"/>
          <w:szCs w:val="32"/>
          <w:shd w:val="clear" w:color="auto" w:fill="FFFFFF"/>
        </w:rPr>
      </w:pPr>
      <w:r>
        <w:rPr>
          <w:rFonts w:eastAsia="方正仿宋_GBK"/>
          <w:bCs/>
          <w:sz w:val="32"/>
          <w:szCs w:val="32"/>
          <w:shd w:val="clear" w:color="auto" w:fill="FFFFFF"/>
        </w:rPr>
        <w:t>统筹抓好政务公开和行风建设、文明窗口创建、基层科室建设等工作，形成工作合力。重点针对海关监管场所、服务大厅、口岸联检大厅等实体窗口，形成政务公开标准规范，让社会公众及时了解海关信息、掌握海关政策、知晓海关业务办理流程，打通海关联系服务群众“最后一公里”。</w:t>
      </w:r>
    </w:p>
    <w:p>
      <w:pPr>
        <w:pStyle w:val="19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rPr>
          <w:rFonts w:eastAsia="方正楷体_GBK"/>
          <w:b/>
          <w:bCs/>
          <w:sz w:val="32"/>
          <w:szCs w:val="32"/>
          <w:shd w:val="clear" w:color="auto" w:fill="FFFFFF"/>
        </w:rPr>
      </w:pPr>
      <w:r>
        <w:rPr>
          <w:rFonts w:eastAsia="方正楷体_GBK" w:hint="eastAsia"/>
          <w:b/>
          <w:bCs/>
          <w:sz w:val="32"/>
          <w:szCs w:val="32"/>
          <w:shd w:val="clear" w:color="auto" w:fill="FFFFFF"/>
        </w:rPr>
        <w:t>（五）加强政务公开教育培训。</w:t>
      </w:r>
    </w:p>
    <w:p>
      <w:pPr>
        <w:pStyle w:val="19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rPr>
          <w:rFonts w:eastAsia="方正仿宋_GBK"/>
          <w:bCs/>
          <w:sz w:val="32"/>
          <w:szCs w:val="32"/>
          <w:shd w:val="clear" w:color="auto" w:fill="FFFFFF"/>
        </w:rPr>
      </w:pPr>
      <w:r>
        <w:rPr>
          <w:rFonts w:eastAsia="方正仿宋_GBK"/>
          <w:bCs/>
          <w:sz w:val="32"/>
          <w:szCs w:val="32"/>
          <w:shd w:val="clear" w:color="auto" w:fill="FFFFFF"/>
        </w:rPr>
        <w:t>指导和鼓励政务公开工作人员加强政策理论学习和业务研究，准确把握政务公开工作要求，熟悉海关各项业务规定，增强专业素质，提高政务公开工作的能力和水平。</w:t>
      </w:r>
    </w:p>
    <w:p>
      <w:pPr>
        <w:pStyle w:val="19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rPr>
          <w:rFonts w:eastAsia="方正楷体_GBK" w:hint="eastAsia"/>
          <w:b/>
          <w:bCs/>
          <w:sz w:val="32"/>
          <w:szCs w:val="32"/>
          <w:shd w:val="clear" w:color="auto" w:fill="FFFFFF"/>
        </w:rPr>
      </w:pPr>
      <w:r>
        <w:rPr>
          <w:rFonts w:eastAsia="方正楷体_GBK" w:hint="eastAsia"/>
          <w:b/>
          <w:bCs/>
          <w:sz w:val="32"/>
          <w:szCs w:val="32"/>
          <w:shd w:val="clear" w:color="auto" w:fill="FFFFFF"/>
        </w:rPr>
        <w:t>（六）其他应说明事项</w:t>
      </w:r>
    </w:p>
    <w:p>
      <w:pPr>
        <w:pStyle w:val="19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rPr>
          <w:rFonts w:eastAsia="方正仿宋_GBK"/>
          <w:bCs/>
          <w:sz w:val="32"/>
          <w:szCs w:val="32"/>
          <w:shd w:val="clear" w:color="auto" w:fill="FFFFFF"/>
        </w:rPr>
      </w:pPr>
      <w:r>
        <w:rPr>
          <w:rFonts w:eastAsia="方正仿宋_GBK" w:hint="eastAsia"/>
          <w:bCs/>
          <w:sz w:val="32"/>
          <w:szCs w:val="32"/>
          <w:shd w:val="clear" w:color="auto" w:fill="FFFFFF"/>
        </w:rPr>
        <w:t>年内，我关未收到任何单位、个人要求公开政府信息的申请</w:t>
      </w:r>
      <w:r>
        <w:rPr>
          <w:rFonts w:eastAsia="方正仿宋_GBK"/>
          <w:bCs/>
          <w:sz w:val="32"/>
          <w:szCs w:val="32"/>
          <w:shd w:val="clear" w:color="auto" w:fill="FFFFFF"/>
        </w:rPr>
        <w:t>；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无</w:t>
      </w:r>
      <w:r>
        <w:rPr>
          <w:rFonts w:eastAsia="方正仿宋_GBK"/>
          <w:bCs/>
          <w:sz w:val="32"/>
          <w:szCs w:val="32"/>
          <w:shd w:val="clear" w:color="auto" w:fill="FFFFFF"/>
        </w:rPr>
        <w:t>收费及减免的情况；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无</w:t>
      </w:r>
      <w:r>
        <w:rPr>
          <w:rFonts w:eastAsia="方正仿宋_GBK"/>
          <w:bCs/>
          <w:sz w:val="32"/>
          <w:szCs w:val="32"/>
          <w:shd w:val="clear" w:color="auto" w:fill="FFFFFF"/>
        </w:rPr>
        <w:t xml:space="preserve">因海关政府信息公开申请行政复议、提起行政诉讼的情况 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。</w:t>
      </w:r>
    </w:p>
    <w:p>
      <w:pPr>
        <w:pStyle w:val="19"/>
        <w:widowControl/>
        <w:shd w:val="clear" w:color="auto" w:fill="FFFFFF"/>
        <w:adjustRightInd w:val="0"/>
        <w:snapToGrid w:val="0"/>
        <w:spacing w:beforeAutospacing="0" w:afterAutospacing="0" w:line="400" w:lineRule="exact"/>
        <w:jc w:val="both"/>
        <w:rPr>
          <w:rFonts w:eastAsia="方正仿宋_GBK"/>
          <w:bCs/>
          <w:sz w:val="32"/>
          <w:szCs w:val="32"/>
          <w:shd w:val="clear" w:color="auto" w:fill="FFFFFF"/>
        </w:rPr>
      </w:pPr>
      <w:r>
        <w:rPr>
          <w:rFonts w:eastAsia="方正仿宋_GBK" w:hint="eastAsia"/>
          <w:bCs/>
          <w:sz w:val="32"/>
          <w:szCs w:val="32"/>
          <w:shd w:val="clear" w:color="auto" w:fill="FFFFFF"/>
        </w:rPr>
        <w:t xml:space="preserve">    </w:t>
      </w: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二、主动公开政府信息情况</w:t>
      </w:r>
    </w:p>
    <w:tbl>
      <w:tblPr>
        <w:jc w:val="center"/>
        <w:tblW w:w="102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3"/>
        <w:gridCol w:w="2183"/>
        <w:gridCol w:w="1551"/>
        <w:gridCol w:w="3446"/>
      </w:tblGrid>
      <w:tr>
        <w:trPr>
          <w:trHeight w:val="495"/>
        </w:trPr>
        <w:tc>
          <w:tcPr>
            <w:tcW w:w="102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rFonts w:eastAsia="方正仿宋_GBK"/>
                <w:bCs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cs="宋体" w:hint="eastAsia"/>
                <w:bCs/>
                <w:kern w:val="0"/>
                <w:sz w:val="24"/>
                <w:szCs w:val="24"/>
              </w:rPr>
              <w:t>第二十条第（一）项</w:t>
            </w:r>
          </w:p>
        </w:tc>
      </w:tr>
      <w:tr>
        <w:trPr>
          <w:trHeight w:val="882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本年新</w:t>
              <w:br/>
            </w:r>
            <w:r>
              <w:rPr>
                <w:kern w:val="0"/>
                <w:sz w:val="24"/>
                <w:szCs w:val="24"/>
              </w:rPr>
              <w:t>制作数量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本年新</w:t>
              <w:br/>
            </w:r>
            <w:r>
              <w:rPr>
                <w:kern w:val="0"/>
                <w:sz w:val="24"/>
                <w:szCs w:val="24"/>
              </w:rPr>
              <w:t>公开数量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对外公开总数量</w:t>
            </w:r>
          </w:p>
        </w:tc>
      </w:tr>
      <w:tr>
        <w:trPr>
          <w:trHeight w:val="272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　　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 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　0</w:t>
            </w:r>
          </w:p>
        </w:tc>
      </w:tr>
      <w:tr>
        <w:trPr>
          <w:trHeight w:val="471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　　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 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　0</w:t>
            </w:r>
          </w:p>
        </w:tc>
      </w:tr>
      <w:tr>
        <w:trPr>
          <w:trHeight w:val="480"/>
        </w:trPr>
        <w:tc>
          <w:tcPr>
            <w:tcW w:w="102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>
        <w:trPr>
          <w:trHeight w:val="436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本年减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处理决定数量</w:t>
            </w:r>
          </w:p>
        </w:tc>
      </w:tr>
      <w:tr>
        <w:trPr>
          <w:trHeight w:val="400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cs="宋体"/>
                <w:kern w:val="0"/>
                <w:sz w:val="24"/>
                <w:szCs w:val="24"/>
              </w:rPr>
              <w:t>0</w:t>
            </w:r>
          </w:p>
        </w:tc>
      </w:tr>
      <w:tr>
        <w:trPr>
          <w:trHeight w:val="635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其他对外管理服务事项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　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　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　0</w:t>
            </w:r>
          </w:p>
        </w:tc>
      </w:tr>
      <w:tr>
        <w:trPr>
          <w:trHeight w:val="406"/>
        </w:trPr>
        <w:tc>
          <w:tcPr>
            <w:tcW w:w="102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>
        <w:trPr>
          <w:trHeight w:val="447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处理决定数量</w:t>
            </w:r>
          </w:p>
        </w:tc>
      </w:tr>
      <w:tr>
        <w:trPr>
          <w:trHeight w:val="430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　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ind w:left="0"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 xml:space="preserve">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409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　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　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　0</w:t>
            </w:r>
          </w:p>
        </w:tc>
      </w:tr>
      <w:tr>
        <w:trPr>
          <w:trHeight w:val="474"/>
        </w:trPr>
        <w:tc>
          <w:tcPr>
            <w:tcW w:w="102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>
        <w:trPr>
          <w:trHeight w:val="270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49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本年增/减</w:t>
            </w:r>
          </w:p>
        </w:tc>
      </w:tr>
      <w:tr>
        <w:trPr>
          <w:trHeight w:val="347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　0</w:t>
            </w:r>
          </w:p>
        </w:tc>
        <w:tc>
          <w:tcPr>
            <w:tcW w:w="49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0 </w:t>
            </w:r>
          </w:p>
        </w:tc>
      </w:tr>
      <w:tr>
        <w:trPr>
          <w:trHeight w:val="476"/>
        </w:trPr>
        <w:tc>
          <w:tcPr>
            <w:tcW w:w="102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第二十条第（九）项</w:t>
            </w:r>
          </w:p>
        </w:tc>
      </w:tr>
      <w:tr>
        <w:trPr>
          <w:trHeight w:val="419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采购项目数量</w:t>
            </w:r>
          </w:p>
        </w:tc>
        <w:tc>
          <w:tcPr>
            <w:tcW w:w="49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采购总金额</w:t>
            </w:r>
          </w:p>
        </w:tc>
      </w:tr>
      <w:tr>
        <w:trPr>
          <w:trHeight w:val="539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政府集中采购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　0</w:t>
            </w:r>
          </w:p>
        </w:tc>
        <w:tc>
          <w:tcPr>
            <w:tcW w:w="49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260" w:lineRule="exact"/>
              <w:ind w:left="0" w:firstLineChars="1000" w:firstLine="24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</w:tbl>
    <w:p>
      <w:pPr>
        <w:pStyle w:val="19"/>
        <w:widowControl/>
        <w:shd w:val="clear" w:color="auto" w:fill="FFFFFF"/>
        <w:spacing w:beforeAutospacing="0" w:after="240" w:afterAutospacing="0"/>
        <w:ind w:firstLineChars="200" w:firstLine="640"/>
        <w:jc w:val="both"/>
        <w:rPr>
          <w:rFonts w:eastAsia="方正黑体_GBK" w:cs="楷体_GB2312"/>
          <w:bCs/>
          <w:sz w:val="32"/>
          <w:szCs w:val="32"/>
          <w:shd w:val="clear" w:color="auto" w:fill="FFFFFF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总计</w:t>
            </w:r>
          </w:p>
        </w:tc>
      </w:tr>
      <w:t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</w:tbl>
    <w:p>
      <w:pPr>
        <w:pStyle w:val="19"/>
        <w:widowControl/>
        <w:shd w:val="clear" w:color="auto" w:fill="FFFFFF"/>
        <w:spacing w:beforeAutospacing="0" w:after="240" w:afterAutospacing="0"/>
        <w:ind w:firstLineChars="200" w:firstLine="640"/>
        <w:jc w:val="both"/>
        <w:rPr>
          <w:rFonts w:cs="宋体"/>
          <w:szCs w:val="24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总计</w:t>
            </w:r>
          </w:p>
        </w:tc>
      </w:tr>
      <w:t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 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</w:tbl>
    <w:p>
      <w:pPr>
        <w:pStyle w:val="19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eastAsia="方正黑体_GBK" w:cs="楷体_GB2312"/>
          <w:bCs/>
          <w:sz w:val="32"/>
          <w:szCs w:val="32"/>
          <w:shd w:val="clear" w:color="auto" w:fill="FFFFFF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五、存在的主要问题及改进情况</w:t>
      </w:r>
    </w:p>
    <w:p>
      <w:pPr>
        <w:pStyle w:val="19"/>
        <w:widowControl/>
        <w:shd w:val="clear" w:color="auto" w:fill="FFFFFF"/>
        <w:spacing w:beforeAutospacing="0" w:afterAutospacing="0" w:line="560" w:lineRule="exact"/>
        <w:ind w:firstLineChars="200" w:firstLine="640"/>
        <w:rPr>
          <w:rFonts w:eastAsia="方正仿宋_GBK"/>
          <w:bCs/>
          <w:sz w:val="32"/>
          <w:szCs w:val="32"/>
          <w:shd w:val="clear" w:color="auto" w:fill="FFFFFF"/>
        </w:rPr>
      </w:pPr>
      <w:r>
        <w:rPr>
          <w:rFonts w:eastAsia="方正仿宋_GBK" w:hint="eastAsia"/>
          <w:bCs/>
          <w:sz w:val="32"/>
          <w:szCs w:val="32"/>
          <w:shd w:val="clear" w:color="auto" w:fill="FFFFFF"/>
        </w:rPr>
        <w:t>2019年我关政府信息公开工作还有以下问题：一是</w:t>
      </w:r>
      <w:r>
        <w:rPr>
          <w:rFonts w:eastAsia="方正仿宋_GBK"/>
          <w:bCs/>
          <w:sz w:val="32"/>
          <w:szCs w:val="32"/>
          <w:shd w:val="clear" w:color="auto" w:fill="FFFFFF"/>
        </w:rPr>
        <w:t>政府信息公开申请受理以及答复的实践数量偏少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；二是</w:t>
      </w:r>
      <w:r>
        <w:rPr>
          <w:rFonts w:eastAsia="方正仿宋_GBK"/>
          <w:bCs/>
          <w:sz w:val="32"/>
          <w:szCs w:val="32"/>
          <w:shd w:val="clear" w:color="auto" w:fill="FFFFFF"/>
        </w:rPr>
        <w:t>信息公开的内容有待进一步完善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，尤其是要加强涉及民生领域信息公开力度；三是政策解读与回应关切方面工作机制有待完善，解读形式和范围要进一步改进。</w:t>
      </w:r>
    </w:p>
    <w:p>
      <w:pPr>
        <w:pStyle w:val="19"/>
        <w:widowControl/>
        <w:shd w:val="clear" w:color="auto" w:fill="FFFFFF"/>
        <w:spacing w:line="560" w:lineRule="exact"/>
        <w:ind w:firstLineChars="200" w:firstLine="640"/>
      </w:pPr>
      <w:r>
        <w:rPr>
          <w:rFonts w:eastAsia="方正仿宋_GBK" w:hint="eastAsia"/>
          <w:bCs/>
          <w:sz w:val="32"/>
          <w:szCs w:val="32"/>
          <w:shd w:val="clear" w:color="auto" w:fill="FFFFFF"/>
        </w:rPr>
        <w:t>为此，我关在接下来的工作中，将进一步</w:t>
      </w:r>
      <w:r>
        <w:rPr>
          <w:rFonts w:eastAsia="方正仿宋_GBK"/>
          <w:bCs/>
          <w:sz w:val="32"/>
          <w:szCs w:val="32"/>
          <w:shd w:val="clear" w:color="auto" w:fill="FFFFFF"/>
        </w:rPr>
        <w:t>统一认识，努力规范工作流程。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再次深度</w:t>
      </w:r>
      <w:r>
        <w:rPr>
          <w:rFonts w:eastAsia="方正仿宋_GBK"/>
          <w:bCs/>
          <w:sz w:val="32"/>
          <w:szCs w:val="32"/>
          <w:shd w:val="clear" w:color="auto" w:fill="FFFFFF"/>
        </w:rPr>
        <w:t>梳理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我关</w:t>
      </w:r>
      <w:r>
        <w:rPr>
          <w:rFonts w:eastAsia="方正仿宋_GBK"/>
          <w:bCs/>
          <w:sz w:val="32"/>
          <w:szCs w:val="32"/>
          <w:shd w:val="clear" w:color="auto" w:fill="FFFFFF"/>
        </w:rPr>
        <w:t>所掌握的需要公开的政府信息，及时提供，定期维护，确保政府信息公开工作能按照既定的工作流程有效运作，公众能够方便查询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；</w:t>
      </w:r>
      <w:r>
        <w:rPr>
          <w:rFonts w:eastAsia="方正仿宋_GBK"/>
          <w:bCs/>
          <w:sz w:val="32"/>
          <w:szCs w:val="32"/>
          <w:shd w:val="clear" w:color="auto" w:fill="FFFFFF"/>
        </w:rPr>
        <w:t>进一步做好上级单位</w:t>
      </w:r>
      <w:bookmarkStart w:id="1" w:name="_GoBack"/>
      <w:bookmarkEnd w:id="1"/>
      <w:r>
        <w:rPr>
          <w:rFonts w:eastAsia="方正仿宋_GBK" w:hint="eastAsia"/>
          <w:bCs/>
          <w:sz w:val="32"/>
          <w:szCs w:val="32"/>
          <w:shd w:val="clear" w:color="auto" w:fill="FFFFFF"/>
        </w:rPr>
        <w:t>要求的</w:t>
      </w:r>
      <w:r>
        <w:rPr>
          <w:rFonts w:eastAsia="方正仿宋_GBK"/>
          <w:bCs/>
          <w:sz w:val="32"/>
          <w:szCs w:val="32"/>
          <w:shd w:val="clear" w:color="auto" w:fill="FFFFFF"/>
        </w:rPr>
        <w:t>信息公开工作，及时、准确公布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海关</w:t>
      </w:r>
      <w:r>
        <w:rPr>
          <w:rFonts w:eastAsia="方正仿宋_GBK"/>
          <w:bCs/>
          <w:sz w:val="32"/>
          <w:szCs w:val="32"/>
          <w:shd w:val="clear" w:color="auto" w:fill="FFFFFF"/>
        </w:rPr>
        <w:t>政策变化的各项信息，方便群众了解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各项</w:t>
      </w:r>
      <w:r>
        <w:rPr>
          <w:rFonts w:eastAsia="方正仿宋_GBK"/>
          <w:bCs/>
          <w:sz w:val="32"/>
          <w:szCs w:val="32"/>
          <w:shd w:val="clear" w:color="auto" w:fill="FFFFFF"/>
        </w:rPr>
        <w:t>政策的动态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；进一步丰富政策解读形式，提供文字、图片、视频、访谈等多样化解读方式。</w:t>
      </w:r>
    </w:p>
    <w:sectPr>
      <w:footerReference w:type="default" r:id="rId2"/>
      <w:footerReference w:type="even" r:id="rId3"/>
      <w:pgSz w:w="11906" w:h="16838"/>
      <w:pgMar w:top="2098" w:right="1474" w:bottom="1871" w:left="1588" w:header="851" w:footer="992" w:gutter="0"/>
      <w:titlePg/>
      <w:docGrid w:type="lines" w:linePitch="408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仿宋_GB2312">
    <w:altName w:val="仿宋"/>
    <w:panose1 w:val="00000000000000000000"/>
    <w:charset w:val="86"/>
    <w:family w:val="modern"/>
    <w:pitch w:val="variable"/>
    <w:sig w:usb0="00000000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variable"/>
    <w:sig w:usb0="00000000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altName w:val="楷体_GB2312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5"/>
      <w:tabs>
        <w:tab w:val="center" w:pos="4153"/>
        <w:tab w:val="right" w:pos="8306"/>
      </w:tabs>
      <w:jc w:val="right"/>
    </w:pPr>
    <w:r>
      <w:rPr>
        <w:rFonts w:ascii="仿宋_GB2312" w:eastAsia="仿宋_GB2312" w:hint="eastAsia"/>
        <w:sz w:val="30"/>
        <w:szCs w:val="30"/>
      </w:rPr>
      <w:t>—</w:t>
    </w:r>
    <w:r>
      <w:rPr>
        <w:rFonts w:ascii="仿宋_GB2312" w:eastAsia="仿宋_GB2312" w:hint="eastAsia"/>
        <w:sz w:val="30"/>
        <w:szCs w:val="30"/>
      </w:rPr>
      <w:fldChar w:fldCharType="begin"/>
    </w:r>
    <w:r>
      <w:rPr>
        <w:rFonts w:ascii="仿宋_GB2312" w:eastAsia="仿宋_GB2312" w:hint="eastAsia"/>
        <w:sz w:val="30"/>
        <w:szCs w:val="30"/>
      </w:rPr>
      <w:instrText xml:space="preserve"> PAGE   \* MERGEFORMAT </w:instrText>
    </w:r>
    <w:r>
      <w:rPr>
        <w:rFonts w:ascii="仿宋_GB2312" w:eastAsia="仿宋_GB2312" w:hint="eastAsia"/>
        <w:sz w:val="30"/>
        <w:szCs w:val="30"/>
      </w:rPr>
      <w:fldChar w:fldCharType="separate"/>
    </w:r>
    <w:r>
      <w:rPr>
        <w:rFonts w:ascii="仿宋_GB2312" w:eastAsia="仿宋_GB2312"/>
        <w:sz w:val="30"/>
        <w:szCs w:val="30"/>
        <w:lang w:val="zh-CN"/>
      </w:rPr>
      <w:t>4</w:t>
    </w:r>
    <w:r>
      <w:rPr>
        <w:rFonts w:ascii="仿宋_GB2312" w:eastAsia="仿宋_GB2312" w:hint="eastAsia"/>
        <w:sz w:val="30"/>
        <w:szCs w:val="30"/>
      </w:rPr>
      <w:fldChar w:fldCharType="end"/>
    </w:r>
    <w:r>
      <w:rPr>
        <w:rFonts w:ascii="仿宋_GB2312" w:eastAsia="仿宋_GB2312" w:hint="eastAsia"/>
        <w:sz w:val="30"/>
        <w:szCs w:val="30"/>
      </w:rPr>
      <w:t>—</w:t>
    </w:r>
  </w:p>
  <w:p>
    <w:pPr>
      <w:pStyle w:val="15"/>
      <w:tabs>
        <w:tab w:val="center" w:pos="4153"/>
        <w:tab w:val="right" w:pos="8306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5"/>
      <w:tabs>
        <w:tab w:val="center" w:pos="4153"/>
        <w:tab w:val="right" w:pos="8306"/>
      </w:tabs>
    </w:pPr>
    <w:r>
      <w:rPr>
        <w:rFonts w:ascii="仿宋_GB2312" w:eastAsia="仿宋_GB2312" w:hint="eastAsia"/>
        <w:sz w:val="30"/>
        <w:szCs w:val="30"/>
      </w:rPr>
      <w:t>—</w:t>
    </w:r>
    <w:r>
      <w:rPr>
        <w:rFonts w:ascii="仿宋_GB2312" w:eastAsia="仿宋_GB2312" w:hint="eastAsia"/>
        <w:sz w:val="30"/>
        <w:szCs w:val="30"/>
      </w:rPr>
      <w:fldChar w:fldCharType="begin"/>
    </w:r>
    <w:r>
      <w:rPr>
        <w:rFonts w:ascii="仿宋_GB2312" w:eastAsia="仿宋_GB2312" w:hint="eastAsia"/>
        <w:sz w:val="30"/>
        <w:szCs w:val="30"/>
      </w:rPr>
      <w:instrText xml:space="preserve"> PAGE   \* MERGEFORMAT </w:instrText>
    </w:r>
    <w:r>
      <w:rPr>
        <w:rFonts w:ascii="仿宋_GB2312" w:eastAsia="仿宋_GB2312" w:hint="eastAsia"/>
        <w:sz w:val="30"/>
        <w:szCs w:val="30"/>
      </w:rPr>
      <w:fldChar w:fldCharType="separate"/>
    </w:r>
    <w:r>
      <w:rPr>
        <w:rFonts w:ascii="仿宋_GB2312" w:eastAsia="仿宋_GB2312"/>
        <w:sz w:val="30"/>
        <w:szCs w:val="30"/>
        <w:lang w:val="zh-CN"/>
      </w:rPr>
      <w:t>2</w:t>
    </w:r>
    <w:r>
      <w:rPr>
        <w:rFonts w:ascii="仿宋_GB2312" w:eastAsia="仿宋_GB2312" w:hint="eastAsia"/>
        <w:sz w:val="30"/>
        <w:szCs w:val="30"/>
      </w:rPr>
      <w:fldChar w:fldCharType="end"/>
    </w:r>
    <w:r>
      <w:rPr>
        <w:rFonts w:ascii="仿宋_GB2312" w:eastAsia="仿宋_GB2312" w:hint="eastAsia"/>
        <w:sz w:val="30"/>
        <w:szCs w:val="30"/>
      </w:rPr>
      <w:t>—</w:t>
    </w:r>
  </w:p>
  <w:p>
    <w:pPr>
      <w:pStyle w:val="15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oNotDisplayPageBoundaries/>
  <w:bordersDoNotSurroundHeader/>
  <w:bordersDoNotSurroundFooter/>
  <w:trackRevisions/>
  <w:defaultTabStop w:val="420"/>
  <w:drawingGridHorizontalSpacing w:val="15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Normal (Web)"/>
    <w:basedOn w:val="0"/>
    <w:pPr>
      <w:spacing w:beforeAutospacing="1" w:afterAutospacing="1"/>
      <w:jc w:val="left"/>
    </w:pPr>
    <w:rPr>
      <w:kern w:val="0"/>
      <w:sz w:val="24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Balloon Text"/>
    <w:basedOn w:val="0"/>
    <w:rPr>
      <w:sz w:val="18"/>
      <w:szCs w:val="18"/>
    </w:rPr>
  </w:style>
  <w:style w:type="paragraph" w:customStyle="1" w:styleId="19">
    <w:name w:val="样式 小四"/>
    <w:pPr>
      <w:widowControl w:val="0"/>
      <w:spacing w:beforeAutospacing="1" w:afterAutospacing="1"/>
      <w:jc w:val="left"/>
    </w:pPr>
    <w:rPr>
      <w:rFonts w:ascii="Times New Roman" w:eastAsia="宋体" w:cs="Times New Roman" w:hAnsi="Times New Roman"/>
      <w:kern w:val="0"/>
      <w:sz w:val="24"/>
      <w:szCs w:val="30"/>
      <w:lang w:val="en-US" w:eastAsia="zh-CN" w:bidi="ar-SA"/>
    </w:rPr>
  </w:style>
  <w:style w:type="paragraph" w:customStyle="1" w:styleId="20">
    <w:name w:val="样式 2 小四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9"/>
    </w:pPr>
    <w:rPr>
      <w:rFonts w:ascii="Times New Roman" w:eastAsia="宋体" w:cs="Times New Roman" w:hAnsi="Times New Roman"/>
      <w:snapToGrid/>
      <w:color w:val="auto"/>
      <w:spacing w:val="0"/>
      <w:w w:val="100"/>
      <w:kern w:val="0"/>
      <w:position w:val="0"/>
      <w:sz w:val="24"/>
      <w:szCs w:val="30"/>
      <w:u w:val="none" w:color="auto"/>
      <w:bdr w:val="none" w:sz="0" w:space="0" w:color="auto"/>
      <w:vertAlign w:val="baseline"/>
      <w:em w:val="no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172</TotalTime>
  <Application>Yozo_Office</Application>
  <Pages>7</Pages>
  <Words>2632</Words>
  <Characters>2675</Characters>
  <Lines>431</Lines>
  <Paragraphs>309</Paragraphs>
  <CharactersWithSpaces>3172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ldd</dc:creator>
  <cp:lastModifiedBy>李亚莅</cp:lastModifiedBy>
  <cp:revision>159</cp:revision>
  <dcterms:created xsi:type="dcterms:W3CDTF">2019-11-29T07:41:00Z</dcterms:created>
  <dcterms:modified xsi:type="dcterms:W3CDTF">2020-01-21T08:16:06Z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2052-10.8.2.6990</vt:lpwstr>
  </property>
</Properties>
</file>