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600" w:lineRule="exact"/>
        <w:jc w:val="center"/>
        <w:rPr>
          <w:rFonts w:eastAsia="方正小标宋_GBK" w:cs="方正小标宋_GBK"/>
          <w:sz w:val="44"/>
          <w:szCs w:val="44"/>
        </w:rPr>
      </w:pPr>
      <w:r>
        <w:rPr>
          <w:rFonts w:eastAsia="方正小标宋_GBK" w:cs="方正小标宋_GBK"/>
          <w:sz w:val="44"/>
          <w:szCs w:val="44"/>
        </w:rPr>
        <w:t>玉林海关2019年</w:t>
      </w:r>
      <w:r>
        <w:rPr>
          <w:rFonts w:eastAsia="方正小标宋_GBK" w:cs="方正小标宋_GBK" w:hint="eastAsia"/>
          <w:sz w:val="44"/>
          <w:szCs w:val="44"/>
        </w:rPr>
        <w:t>政府信息公开工作年度报告</w:t>
      </w:r>
    </w:p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600" w:lineRule="exact"/>
        <w:ind w:firstLineChars="200" w:firstLine="640"/>
        <w:jc w:val="both"/>
        <w:rPr>
          <w:rFonts w:eastAsia="方正仿宋_GBK" w:cs="楷体_GB2312"/>
          <w:bCs/>
          <w:color w:val="auto"/>
          <w:sz w:val="32"/>
          <w:szCs w:val="32"/>
          <w:shd w:val="clear" w:color="auto" w:fill="FFFFFF"/>
        </w:rPr>
      </w:pPr>
    </w:p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600" w:lineRule="exact"/>
        <w:ind w:firstLineChars="200" w:firstLine="640"/>
        <w:jc w:val="both"/>
        <w:rPr>
          <w:rFonts w:eastAsia="方正仿宋_GBK"/>
          <w:bCs/>
          <w:sz w:val="32"/>
          <w:szCs w:val="32"/>
          <w:shd w:val="clear" w:color="auto" w:fill="FFFFFF"/>
        </w:rPr>
      </w:pPr>
      <w:r>
        <w:rPr>
          <w:rFonts w:eastAsia="方正仿宋_GBK" w:cs="楷体_GB2312"/>
          <w:bCs/>
          <w:sz w:val="32"/>
          <w:szCs w:val="32"/>
          <w:shd w:val="clear" w:color="auto" w:fill="FFFFFF"/>
          <w:lang w:bidi="ar-SA"/>
        </w:rPr>
        <w:t>根据《中华人民共和国政府信息公开条例》（国令711号）要求</w:t>
      </w:r>
      <w:r>
        <w:rPr>
          <w:rFonts w:eastAsia="方正仿宋_GBK"/>
          <w:bCs/>
          <w:sz w:val="32"/>
          <w:szCs w:val="32"/>
          <w:shd w:val="clear" w:color="auto" w:fill="FFFFFF"/>
        </w:rPr>
        <w:t>，特公布201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9</w:t>
      </w:r>
      <w:r>
        <w:rPr>
          <w:rFonts w:eastAsia="方正仿宋_GBK"/>
          <w:bCs/>
          <w:sz w:val="32"/>
          <w:szCs w:val="32"/>
          <w:shd w:val="clear" w:color="auto" w:fill="FFFFFF"/>
        </w:rPr>
        <w:t>年度玉林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海关</w:t>
      </w:r>
      <w:r>
        <w:rPr>
          <w:rFonts w:eastAsia="方正仿宋_GBK"/>
          <w:bCs/>
          <w:sz w:val="32"/>
          <w:szCs w:val="32"/>
          <w:shd w:val="clear" w:color="auto" w:fill="FFFFFF"/>
        </w:rPr>
        <w:t>政府信息公开年度报告。主要包括以下内容：本年度政府信息公开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总体情况</w:t>
      </w:r>
      <w:r>
        <w:rPr>
          <w:rFonts w:eastAsia="方正仿宋_GBK"/>
          <w:bCs/>
          <w:sz w:val="32"/>
          <w:szCs w:val="32"/>
          <w:shd w:val="clear" w:color="auto" w:fill="FFFFFF"/>
        </w:rPr>
        <w:t>；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主动公开政府信息情况</w:t>
      </w:r>
      <w:r>
        <w:rPr>
          <w:rFonts w:eastAsia="方正仿宋_GBK"/>
          <w:bCs/>
          <w:sz w:val="32"/>
          <w:szCs w:val="32"/>
          <w:shd w:val="clear" w:color="auto" w:fill="FFFFFF"/>
        </w:rPr>
        <w:t>；我关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收到和处理政府信息公开申请情况</w:t>
      </w:r>
      <w:r>
        <w:rPr>
          <w:rFonts w:eastAsia="方正仿宋_GBK"/>
          <w:bCs/>
          <w:sz w:val="32"/>
          <w:szCs w:val="32"/>
          <w:shd w:val="clear" w:color="auto" w:fill="FFFFFF"/>
        </w:rPr>
        <w:t>；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政府信息公开行政复议、行政诉讼情况</w:t>
      </w:r>
      <w:r>
        <w:rPr>
          <w:rFonts w:eastAsia="方正仿宋_GBK"/>
          <w:bCs/>
          <w:sz w:val="32"/>
          <w:szCs w:val="32"/>
          <w:shd w:val="clear" w:color="auto" w:fill="FFFFFF"/>
        </w:rPr>
        <w:t>；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存在的主要问题及改进情况</w:t>
      </w:r>
      <w:r>
        <w:rPr>
          <w:rFonts w:eastAsia="方正仿宋_GBK"/>
          <w:bCs/>
          <w:sz w:val="32"/>
          <w:szCs w:val="32"/>
          <w:shd w:val="clear" w:color="auto" w:fill="FFFFFF"/>
        </w:rPr>
        <w:t>；其他需报告事项等。所列数据的统计期限自201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9</w:t>
      </w:r>
      <w:r>
        <w:rPr>
          <w:rFonts w:eastAsia="方正仿宋_GBK"/>
          <w:bCs/>
          <w:sz w:val="32"/>
          <w:szCs w:val="32"/>
          <w:shd w:val="clear" w:color="auto" w:fill="FFFFFF"/>
        </w:rPr>
        <w:t>年1月1日起至12月31日止。</w:t>
      </w:r>
    </w:p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600" w:lineRule="exact"/>
        <w:ind w:firstLine="644"/>
        <w:jc w:val="both"/>
        <w:rPr>
          <w:rFonts w:eastAsia="方正黑体_GBK" w:cs="楷体_GB2312"/>
          <w:bCs/>
          <w:color w:val="auto"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color w:val="auto"/>
          <w:sz w:val="32"/>
          <w:szCs w:val="32"/>
          <w:shd w:val="clear" w:color="auto" w:fill="FFFFFF"/>
        </w:rPr>
        <w:t>一、总体情况</w:t>
      </w:r>
    </w:p>
    <w:p>
      <w:pPr>
        <w:spacing w:line="600" w:lineRule="exact"/>
        <w:ind w:firstLineChars="200" w:firstLine="640"/>
        <w:rPr>
          <w:rFonts w:eastAsia="方正楷体_GBK"/>
          <w:b/>
          <w:bCs/>
          <w:sz w:val="32"/>
          <w:szCs w:val="32"/>
        </w:rPr>
      </w:pPr>
      <w:r>
        <w:rPr>
          <w:rFonts w:eastAsia="方正楷体_GBK" w:hint="eastAsia"/>
          <w:b/>
          <w:bCs/>
          <w:sz w:val="32"/>
          <w:szCs w:val="32"/>
        </w:rPr>
        <w:t>（一）主动公开政府信息的情况。</w:t>
      </w:r>
    </w:p>
    <w:p>
      <w:pPr>
        <w:spacing w:line="600" w:lineRule="exact"/>
        <w:ind w:firstLineChars="200" w:firstLine="640"/>
        <w:rPr>
          <w:rFonts w:eastAsia="方正黑体_GBK" w:hint="eastAsia"/>
          <w:sz w:val="32"/>
          <w:szCs w:val="32"/>
        </w:rPr>
      </w:pPr>
      <w:r>
        <w:rPr>
          <w:rFonts w:eastAsia="方正楷体_GBK"/>
          <w:b/>
          <w:bCs/>
          <w:sz w:val="32"/>
          <w:szCs w:val="32"/>
        </w:rPr>
        <w:t>1.</w:t>
      </w:r>
      <w:r>
        <w:rPr>
          <w:rFonts w:eastAsia="方正仿宋_GBK" w:hint="eastAsia"/>
          <w:b/>
          <w:bCs/>
          <w:sz w:val="32"/>
          <w:szCs w:val="32"/>
        </w:rPr>
        <w:t>加强组织领导，深化制度建设。</w:t>
      </w:r>
      <w:r>
        <w:rPr>
          <w:rFonts w:eastAsia="方正仿宋_GBK" w:hint="eastAsia"/>
          <w:sz w:val="32"/>
          <w:szCs w:val="32"/>
        </w:rPr>
        <w:t>一是做好制度废旧立新工作，共废止</w:t>
      </w:r>
      <w:r>
        <w:rPr>
          <w:rFonts w:eastAsia="方正仿宋_GBK"/>
          <w:sz w:val="32"/>
          <w:szCs w:val="32"/>
        </w:rPr>
        <w:t>12项旧制度，建立13项新内部管理</w:t>
      </w:r>
      <w:r>
        <w:rPr>
          <w:rFonts w:eastAsia="方正仿宋_GBK" w:hint="eastAsia"/>
          <w:sz w:val="32"/>
          <w:szCs w:val="32"/>
        </w:rPr>
        <w:t>制度，为各项工作开展提供制度依据。制定《玉林海关政务公开实施办法》并组织相关人员进行专题学习，</w:t>
      </w:r>
      <w:r>
        <w:rPr>
          <w:rFonts w:eastAsia="方正仿宋_GBK"/>
          <w:sz w:val="32"/>
          <w:szCs w:val="32"/>
        </w:rPr>
        <w:t>强化教育培训，</w:t>
      </w:r>
      <w:r>
        <w:rPr>
          <w:rFonts w:eastAsia="方正仿宋_GBK" w:hint="eastAsia"/>
          <w:sz w:val="32"/>
          <w:szCs w:val="32"/>
        </w:rPr>
        <w:t>为政务公开工作有序开展打牢基础。二是及时更新完善临时机构。强化组织领导，根据实际工作建立政务公开工作领导小组，由分管关领导任组长，各科室负责人任组员，下设领导小组办公室，领导小组办公室主任由办公室主任兼任，常设办事机构设在办公室，负责信息公开日常工作，形成权责明晰、运转有序的工作格局。</w:t>
      </w:r>
    </w:p>
    <w:p>
      <w:pPr>
        <w:spacing w:line="600" w:lineRule="exact"/>
        <w:ind w:firstLineChars="200" w:firstLine="640"/>
        <w:rPr>
          <w:rFonts w:eastAsia="方正仿宋_GBK" w:hint="eastAsia"/>
          <w:b/>
          <w:bCs/>
          <w:sz w:val="32"/>
          <w:szCs w:val="32"/>
        </w:rPr>
      </w:pPr>
      <w:r>
        <w:rPr>
          <w:rFonts w:eastAsia="方正仿宋_GBK" w:hint="eastAsia"/>
          <w:b/>
          <w:bCs/>
          <w:sz w:val="32"/>
          <w:szCs w:val="32"/>
        </w:rPr>
        <w:t>2.</w:t>
      </w:r>
      <w:r>
        <w:rPr>
          <w:rFonts w:eastAsia="方正仿宋_GBK" w:hint="eastAsia"/>
          <w:b/>
          <w:bCs/>
          <w:sz w:val="32"/>
          <w:szCs w:val="32"/>
          <w:shd w:val="clear" w:color="auto" w:fill="FFFFFF"/>
        </w:rPr>
        <w:t>加大公示力度</w:t>
      </w:r>
      <w:r>
        <w:rPr>
          <w:rFonts w:eastAsia="方正仿宋_GBK" w:hint="eastAsia"/>
          <w:b/>
          <w:bCs/>
          <w:sz w:val="32"/>
          <w:szCs w:val="32"/>
        </w:rPr>
        <w:t>，加强政策解读。</w:t>
      </w:r>
      <w:r>
        <w:rPr>
          <w:rFonts w:eastAsia="方正仿宋_GBK" w:hint="eastAsia"/>
          <w:sz w:val="32"/>
          <w:szCs w:val="32"/>
        </w:rPr>
        <w:t>一是结合下厂监管、稽核查等工作，及时对企业反馈的政策疑难问题及时予以回应和反馈，同时建立地方政府部门、企业、行业协会多方参与的协调机制，通过现场解答、网络在线答疑等方式对优化营商环境、通关一体化、非洲猪瘟疫情等重点工作进行政策宣传和诉求回应，进一步做好政府信息主动公开。二是组织到辖区企业进行政策宣讲、政务公开和宣传相关工</w:t>
      </w:r>
      <w:r>
        <w:rPr>
          <w:rFonts w:eastAsia="方正仿宋_GBK"/>
          <w:sz w:val="32"/>
          <w:szCs w:val="32"/>
        </w:rPr>
        <w:t>作60余</w:t>
      </w:r>
      <w:r>
        <w:rPr>
          <w:rFonts w:eastAsia="方正仿宋_GBK" w:hint="eastAsia"/>
          <w:sz w:val="32"/>
          <w:szCs w:val="32"/>
        </w:rPr>
        <w:t>次，积极开展政策宣贯会、办事指南培训班，向企业讲解业务流程及注意事项；安排相关业务专家下企业进行专业指导，主动开展政策解读信息公开工作，</w:t>
      </w:r>
      <w:r>
        <w:rPr>
          <w:rFonts w:eastAsia="方正仿宋_GBK"/>
          <w:sz w:val="32"/>
          <w:szCs w:val="32"/>
        </w:rPr>
        <w:t>发放各类政策解读资料600余份</w:t>
      </w:r>
      <w:r>
        <w:rPr>
          <w:rFonts w:eastAsia="方正仿宋_GBK" w:hint="eastAsia"/>
          <w:sz w:val="32"/>
          <w:szCs w:val="32"/>
        </w:rPr>
        <w:t>帮助企业深入了解海关政策法规，助力企业健康稳定发展。三是</w:t>
      </w:r>
      <w:r>
        <w:rPr>
          <w:rFonts w:eastAsia="方正仿宋_GBK"/>
          <w:bCs/>
          <w:sz w:val="32"/>
          <w:szCs w:val="32"/>
          <w:shd w:val="clear" w:color="auto" w:fill="FFFFFF"/>
        </w:rPr>
        <w:t>加强公示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平台</w:t>
      </w:r>
      <w:r>
        <w:rPr>
          <w:rFonts w:eastAsia="方正仿宋_GBK"/>
          <w:bCs/>
          <w:sz w:val="32"/>
          <w:szCs w:val="32"/>
          <w:shd w:val="clear" w:color="auto" w:fill="FFFFFF"/>
        </w:rPr>
        <w:t>建设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。</w:t>
      </w:r>
      <w:r>
        <w:rPr>
          <w:rFonts w:eastAsia="方正仿宋_GBK"/>
          <w:bCs/>
          <w:sz w:val="32"/>
          <w:szCs w:val="32"/>
          <w:shd w:val="clear" w:color="auto" w:fill="FFFFFF"/>
        </w:rPr>
        <w:t>充分利用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业务现场LED屏、</w:t>
      </w:r>
      <w:r>
        <w:rPr>
          <w:rFonts w:eastAsia="方正仿宋_GBK"/>
          <w:bCs/>
          <w:sz w:val="32"/>
          <w:szCs w:val="32"/>
          <w:shd w:val="clear" w:color="auto" w:fill="FFFFFF"/>
        </w:rPr>
        <w:t>公告栏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、微信群、QQ群等</w:t>
      </w:r>
      <w:r>
        <w:rPr>
          <w:rFonts w:eastAsia="方正仿宋_GBK"/>
          <w:bCs/>
          <w:sz w:val="32"/>
          <w:szCs w:val="32"/>
          <w:shd w:val="clear" w:color="auto" w:fill="FFFFFF"/>
        </w:rPr>
        <w:t>方式，为各类信息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、海关政策的</w:t>
      </w:r>
      <w:r>
        <w:rPr>
          <w:rFonts w:eastAsia="方正仿宋_GBK"/>
          <w:bCs/>
          <w:sz w:val="32"/>
          <w:szCs w:val="32"/>
          <w:shd w:val="clear" w:color="auto" w:fill="FFFFFF"/>
        </w:rPr>
        <w:t>公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开</w:t>
      </w:r>
      <w:r>
        <w:rPr>
          <w:rFonts w:eastAsia="方正仿宋_GBK"/>
          <w:bCs/>
          <w:sz w:val="32"/>
          <w:szCs w:val="32"/>
          <w:shd w:val="clear" w:color="auto" w:fill="FFFFFF"/>
        </w:rPr>
        <w:t>搭建平台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。</w:t>
      </w:r>
      <w:r>
        <w:rPr>
          <w:rFonts w:eastAsia="方正仿宋_GBK" w:hint="eastAsia"/>
          <w:sz w:val="32"/>
          <w:szCs w:val="32"/>
        </w:rPr>
        <w:t>通过办事业务大厅</w:t>
      </w:r>
      <w:r>
        <w:rPr>
          <w:rFonts w:eastAsia="方正仿宋_GBK"/>
          <w:sz w:val="32"/>
          <w:szCs w:val="32"/>
        </w:rPr>
        <w:t>LED</w:t>
      </w:r>
      <w:r>
        <w:rPr>
          <w:rFonts w:eastAsia="方正仿宋_GBK" w:hint="eastAsia"/>
          <w:sz w:val="32"/>
          <w:szCs w:val="32"/>
        </w:rPr>
        <w:t>屏幕以视频、音频、公告、图片等形式开展政务公开工作，同时根据不同的业务和办理事项，制作不同的办事流程和指南册子放置于办事大厅，方便办事人员存阅、携带和了解相关规章制度。通过政务新媒体、办事大厅公示栏、服务窗口等途径向社会公开行政执法职责、执法依据等信息，明示工作人员岗位职责、咨询服务、投诉举报方式。</w:t>
      </w:r>
    </w:p>
    <w:p>
      <w:pPr>
        <w:pStyle w:val="16"/>
        <w:widowControl/>
        <w:shd w:val="clear" w:color="auto" w:fill="FFFFFF"/>
        <w:adjustRightInd w:val="0"/>
        <w:snapToGrid w:val="0"/>
        <w:spacing w:beforeAutospacing="0" w:afterAutospacing="0" w:line="600" w:lineRule="exact"/>
        <w:ind w:firstLineChars="200" w:firstLine="640"/>
        <w:rPr>
          <w:rFonts w:eastAsia="方正仿宋_GBK"/>
          <w:bCs/>
          <w:sz w:val="32"/>
          <w:szCs w:val="32"/>
          <w:shd w:val="clear" w:color="auto" w:fill="FFFFFF"/>
        </w:rPr>
      </w:pPr>
      <w:r>
        <w:rPr>
          <w:rFonts w:eastAsia="方正仿宋_GBK" w:hint="eastAsia"/>
          <w:b/>
          <w:bCs/>
          <w:sz w:val="32"/>
          <w:szCs w:val="32"/>
        </w:rPr>
        <w:t>3.结合多形式活动加强重点工作信息公开。</w:t>
      </w:r>
      <w:r>
        <w:rPr>
          <w:rFonts w:eastAsia="方正仿宋_GBK" w:hint="eastAsia"/>
          <w:sz w:val="32"/>
          <w:szCs w:val="32"/>
        </w:rPr>
        <w:t>联合地方政府开展广场宣传活</w:t>
      </w:r>
      <w:r>
        <w:rPr>
          <w:rFonts w:eastAsia="方正仿宋_GBK"/>
          <w:sz w:val="32"/>
          <w:szCs w:val="32"/>
        </w:rPr>
        <w:t>动6</w:t>
      </w:r>
      <w:r>
        <w:rPr>
          <w:rFonts w:eastAsia="方正仿宋_GBK" w:hint="eastAsia"/>
          <w:sz w:val="32"/>
          <w:szCs w:val="32"/>
        </w:rPr>
        <w:t>次，重点宣传解读食品安全、检验检疫、海关法规宣传等方面内容，主动向社会大众公开相关信息。参加假冒伪劣产品公开集中销毁活动，积极宣传海关知识产权工作及政策。主动加强与地方宣传、地方媒体等相关部门的联系沟通，发表和提供海关政策解读新闻、重点工作宣传和业务</w:t>
      </w:r>
      <w:r>
        <w:rPr>
          <w:rFonts w:eastAsia="方正仿宋_GBK"/>
          <w:sz w:val="32"/>
          <w:szCs w:val="32"/>
        </w:rPr>
        <w:t>形势</w:t>
      </w:r>
      <w:r>
        <w:rPr>
          <w:rFonts w:eastAsia="方正仿宋_GBK" w:hint="eastAsia"/>
          <w:sz w:val="32"/>
          <w:szCs w:val="32"/>
        </w:rPr>
        <w:t>分析稿件，持续扩大海关影响力。</w:t>
      </w:r>
      <w:r>
        <w:rPr>
          <w:rFonts w:eastAsia="方正仿宋_GBK"/>
          <w:bCs/>
          <w:sz w:val="32"/>
          <w:szCs w:val="32"/>
          <w:shd w:val="clear" w:color="auto" w:fill="FFFFFF"/>
        </w:rPr>
        <w:t>全年累计向玉林市政府办、发改委和商务局等部门提供业务数据统计分析41次，向玉林市政府报送中药材行业调研报告，全年提供玉林市优化营商数据统计累计12次。</w:t>
      </w:r>
    </w:p>
    <w:p>
      <w:pPr>
        <w:spacing w:line="600" w:lineRule="exact"/>
        <w:ind w:left="0" w:firstLineChars="200" w:firstLine="640"/>
        <w:rPr>
          <w:rFonts w:eastAsia="方正黑体_GBK" w:hint="eastAsia"/>
          <w:sz w:val="32"/>
          <w:szCs w:val="32"/>
        </w:rPr>
      </w:pPr>
      <w:r>
        <w:rPr>
          <w:rFonts w:eastAsia="方正仿宋_GBK" w:hint="eastAsia"/>
          <w:b/>
          <w:bCs/>
          <w:sz w:val="32"/>
          <w:szCs w:val="32"/>
        </w:rPr>
        <w:t>4.深化“双随机、一公开”工作。</w:t>
      </w:r>
      <w:r>
        <w:rPr>
          <w:rFonts w:eastAsia="方正仿宋_GBK" w:hint="eastAsia"/>
          <w:sz w:val="32"/>
          <w:szCs w:val="32"/>
        </w:rPr>
        <w:t>做好稽查、监管等领域随机抽查情况及抽查结果公开工作，加大公开力度，通过公告栏等形式及时对检查人员、随机抽查结果等情况予以公开，营造公开透明、公平公正的监管环境。</w:t>
      </w:r>
    </w:p>
    <w:p>
      <w:pPr>
        <w:spacing w:line="60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b/>
          <w:bCs/>
          <w:sz w:val="32"/>
          <w:szCs w:val="32"/>
        </w:rPr>
        <w:t>5.细化海关财政信息公开。</w:t>
      </w:r>
      <w:r>
        <w:rPr>
          <w:rFonts w:eastAsia="方正仿宋_GBK" w:hint="eastAsia"/>
          <w:sz w:val="32"/>
          <w:szCs w:val="32"/>
        </w:rPr>
        <w:t>根据工作要求，及时在我关网页、公告栏公布海关预、决算信息和政府采购招标公告、中标（成交）公告、采购文件及合同等内容，同时做好海关涉案财物处理情况公开公示工作。</w:t>
      </w:r>
    </w:p>
    <w:p>
      <w:pPr>
        <w:spacing w:line="600" w:lineRule="exact"/>
        <w:ind w:left="13" w:firstLineChars="200" w:firstLine="640"/>
        <w:rPr>
          <w:rFonts w:eastAsia="方正仿宋_GBK"/>
          <w:sz w:val="32"/>
          <w:szCs w:val="32"/>
        </w:rPr>
      </w:pPr>
      <w:r>
        <w:rPr>
          <w:rFonts w:eastAsia="方正楷体_GBK" w:hint="eastAsia"/>
          <w:b/>
          <w:bCs/>
          <w:sz w:val="32"/>
          <w:szCs w:val="32"/>
        </w:rPr>
        <w:t>（二）依申请公开政府信息和不予公开政府信息的情况。</w:t>
      </w:r>
      <w:r>
        <w:rPr>
          <w:rFonts w:eastAsia="方正仿宋_GBK" w:hint="eastAsia"/>
          <w:sz w:val="32"/>
          <w:szCs w:val="32"/>
        </w:rPr>
        <w:t>我关严格</w:t>
      </w:r>
      <w:r>
        <w:rPr>
          <w:rFonts w:eastAsia="方正仿宋_GBK"/>
          <w:sz w:val="32"/>
          <w:szCs w:val="32"/>
        </w:rPr>
        <w:t>落实相关</w:t>
      </w:r>
      <w:r>
        <w:rPr>
          <w:rFonts w:eastAsia="方正仿宋_GBK" w:hint="eastAsia"/>
          <w:sz w:val="32"/>
          <w:szCs w:val="32"/>
        </w:rPr>
        <w:t>规章制度，认真审查收文、发文文件，严格</w:t>
      </w:r>
      <w:r>
        <w:rPr>
          <w:rFonts w:eastAsia="方正仿宋_GBK"/>
          <w:sz w:val="32"/>
          <w:szCs w:val="32"/>
        </w:rPr>
        <w:t>审核</w:t>
      </w:r>
      <w:r>
        <w:rPr>
          <w:rFonts w:eastAsia="方正仿宋_GBK" w:hint="eastAsia"/>
          <w:sz w:val="32"/>
          <w:szCs w:val="32"/>
        </w:rPr>
        <w:t>把关，保证所公开的信息不涉及国家秘密、商业秘密、个人隐私等方面，并严格遵守依申请公开信息工作规章，做好及时审查、回应反馈工作。</w:t>
      </w:r>
      <w:r>
        <w:rPr>
          <w:rFonts w:eastAsia="方正仿宋_GBK"/>
          <w:sz w:val="32"/>
          <w:szCs w:val="32"/>
        </w:rPr>
        <w:t>2019年共收到申请数0件。</w:t>
      </w:r>
    </w:p>
    <w:p>
      <w:pPr>
        <w:spacing w:line="600" w:lineRule="exact"/>
        <w:ind w:left="13" w:firstLineChars="200" w:firstLine="640"/>
        <w:rPr>
          <w:rFonts w:eastAsia="方正仿宋_GBK"/>
          <w:sz w:val="32"/>
          <w:szCs w:val="32"/>
        </w:rPr>
      </w:pPr>
      <w:r>
        <w:rPr>
          <w:rFonts w:eastAsia="方正楷体_GBK" w:hint="eastAsia"/>
          <w:b/>
          <w:bCs/>
          <w:sz w:val="32"/>
          <w:szCs w:val="32"/>
        </w:rPr>
        <w:t>（三）海关政府信息公开的收费及减免的情况。</w:t>
      </w:r>
      <w:r>
        <w:rPr>
          <w:rFonts w:eastAsia="方正仿宋_GBK"/>
          <w:sz w:val="32"/>
          <w:szCs w:val="32"/>
        </w:rPr>
        <w:t>我关政府信息公开不涉及收费及减免。</w:t>
      </w:r>
    </w:p>
    <w:p>
      <w:pPr>
        <w:spacing w:line="600" w:lineRule="exact"/>
        <w:ind w:left="13"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楷体_GBK" w:hint="eastAsia"/>
          <w:b/>
          <w:bCs/>
          <w:sz w:val="32"/>
          <w:szCs w:val="32"/>
        </w:rPr>
        <w:t>（四）因海关政府信息公开申请行政复议、提起行政诉讼的情况。</w:t>
      </w:r>
      <w:r>
        <w:rPr>
          <w:rFonts w:eastAsia="方正仿宋_GBK"/>
          <w:sz w:val="32"/>
          <w:szCs w:val="32"/>
        </w:rPr>
        <w:t>我关2019年政府信息公开申请行政复议及提起行政诉讼数为0</w:t>
      </w:r>
      <w:r>
        <w:rPr>
          <w:rFonts w:eastAsia="方正仿宋_GBK" w:hint="eastAsia"/>
          <w:sz w:val="32"/>
          <w:szCs w:val="32"/>
        </w:rPr>
        <w:t>。</w:t>
      </w:r>
    </w:p>
    <w:p>
      <w:pPr>
        <w:pStyle w:val="16"/>
        <w:widowControl/>
        <w:shd w:val="clear" w:color="auto" w:fill="FFFFFF"/>
        <w:adjustRightInd w:val="0"/>
        <w:snapToGrid w:val="0"/>
        <w:spacing w:beforeAutospacing="0" w:after="0" w:afterAutospacing="0" w:line="560" w:lineRule="exact"/>
        <w:ind w:firstLineChars="200" w:firstLine="640"/>
        <w:jc w:val="both"/>
        <w:rPr>
          <w:rFonts w:eastAsia="方正黑体_GBK" w:cs="楷体_GB2312"/>
          <w:bCs/>
          <w:color w:val="auto"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color w:val="auto"/>
          <w:sz w:val="32"/>
          <w:szCs w:val="32"/>
          <w:shd w:val="clear" w:color="auto" w:fill="FFFFFF"/>
        </w:rPr>
        <w:t>二、主动公开政府信息情况</w:t>
      </w:r>
    </w:p>
    <w:tbl>
      <w:tblPr>
        <w:jc w:val="center"/>
        <w:tblW w:w="10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2183"/>
        <w:gridCol w:w="1551"/>
        <w:gridCol w:w="3446"/>
      </w:tblGrid>
      <w:tr>
        <w:trPr>
          <w:trHeight w:val="495"/>
        </w:trPr>
        <w:tc>
          <w:tcPr>
            <w:tcW w:w="102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882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本年新</w:t>
              <w:br/>
            </w:r>
            <w:r>
              <w:rPr>
                <w:color w:val="auto"/>
                <w:kern w:val="0"/>
                <w:sz w:val="24"/>
                <w:szCs w:val="24"/>
              </w:rPr>
              <w:t>制作数量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本年新</w:t>
              <w:br/>
            </w:r>
            <w:r>
              <w:rPr>
                <w:color w:val="auto"/>
                <w:kern w:val="0"/>
                <w:sz w:val="24"/>
                <w:szCs w:val="24"/>
              </w:rPr>
              <w:t>公开数量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对外公开总数量</w:t>
            </w:r>
          </w:p>
        </w:tc>
      </w:tr>
      <w:tr>
        <w:trPr>
          <w:trHeight w:val="272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71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80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436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处理决定数量</w:t>
            </w:r>
          </w:p>
        </w:tc>
      </w:tr>
      <w:tr>
        <w:trPr>
          <w:trHeight w:val="400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635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其他对外管理服务事项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06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447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处理决定数量</w:t>
            </w:r>
          </w:p>
        </w:tc>
      </w:tr>
      <w:tr>
        <w:trPr>
          <w:trHeight w:val="430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0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74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270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4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本年增/减</w:t>
            </w:r>
          </w:p>
        </w:tc>
      </w:tr>
      <w:tr>
        <w:trPr>
          <w:trHeight w:val="347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</w:tr>
      <w:tr>
        <w:trPr>
          <w:trHeight w:val="476"/>
        </w:trPr>
        <w:tc>
          <w:tcPr>
            <w:tcW w:w="102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第二十条第（九）项</w:t>
            </w:r>
          </w:p>
        </w:tc>
      </w:tr>
      <w:tr>
        <w:trPr>
          <w:trHeight w:val="41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4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采购总金额</w:t>
            </w:r>
          </w:p>
        </w:tc>
      </w:tr>
      <w:tr>
        <w:trPr>
          <w:trHeight w:val="53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80" w:line="260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　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4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260" w:lineRule="exact"/>
              <w:ind w:firstLineChars="800" w:firstLine="19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20万元</w:t>
            </w:r>
          </w:p>
        </w:tc>
      </w:tr>
    </w:tbl>
    <w:p>
      <w:pPr>
        <w:pStyle w:val="16"/>
        <w:widowControl/>
        <w:shd w:val="clear" w:color="auto" w:fill="FFFFFF"/>
        <w:spacing w:beforeAutospacing="0" w:after="240" w:afterAutospacing="0"/>
        <w:ind w:firstLineChars="200" w:firstLine="640"/>
        <w:jc w:val="both"/>
        <w:rPr>
          <w:rFonts w:eastAsia="方正黑体_GBK" w:cs="楷体_GB2312"/>
          <w:bCs/>
          <w:color w:val="auto"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color w:val="auto"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</w:rPr>
              <w:t>申请人情况</w:t>
            </w:r>
          </w:p>
        </w:tc>
      </w:tr>
      <w:t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 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ind w:firstLineChars="50" w:firstLine="12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 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 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 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ind w:firstLineChars="50" w:firstLine="12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 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ind w:firstLineChars="50" w:firstLine="12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 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ind w:firstLineChars="50" w:firstLine="12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 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after="180"/>
              <w:ind w:firstLineChars="50" w:firstLine="12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楷体"/>
                <w:color w:val="auto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 xml:space="preserve"> 0 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 xml:space="preserve"> 0 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楷体" w:hint="eastAsia"/>
                <w:color w:val="auto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firstLineChars="100" w:firstLine="2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</w:tbl>
    <w:p>
      <w:pPr>
        <w:pStyle w:val="16"/>
        <w:widowControl/>
        <w:shd w:val="clear" w:color="auto" w:fill="FFFFFF"/>
        <w:spacing w:beforeAutospacing="0" w:after="240" w:afterAutospacing="0"/>
        <w:ind w:left="0" w:firstLineChars="200" w:firstLine="640"/>
        <w:jc w:val="both"/>
        <w:rPr>
          <w:rFonts w:cs="宋体"/>
          <w:color w:val="auto"/>
          <w:szCs w:val="24"/>
        </w:rPr>
      </w:pPr>
      <w:r>
        <w:rPr>
          <w:rFonts w:eastAsia="方正黑体_GBK" w:cs="楷体_GB2312" w:hint="eastAsia"/>
          <w:bCs/>
          <w:color w:val="auto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总计</w:t>
            </w:r>
          </w:p>
        </w:tc>
      </w:tr>
      <w:t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0 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kern w:val="0"/>
                <w:sz w:val="24"/>
                <w:szCs w:val="24"/>
              </w:rPr>
              <w:t> 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/>
                <w:color w:val="auto"/>
                <w:kern w:val="0"/>
                <w:sz w:val="24"/>
                <w:szCs w:val="24"/>
              </w:rPr>
              <w:t>0</w:t>
            </w:r>
            <w:r>
              <w:rPr>
                <w:rFonts w:cs="宋体" w:hint="eastAsia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</w:tbl>
    <w:p>
      <w:pPr>
        <w:widowControl/>
        <w:shd w:val="clear" w:color="auto" w:fill="FFFFFF"/>
        <w:spacing w:line="600" w:lineRule="exact"/>
        <w:ind w:firstLineChars="200" w:firstLine="640"/>
        <w:rPr>
          <w:rFonts w:eastAsia="方正黑体_GBK" w:cs="宋体" w:hint="eastAsia"/>
          <w:color w:val="auto"/>
          <w:sz w:val="32"/>
          <w:szCs w:val="32"/>
        </w:rPr>
      </w:pPr>
      <w:r>
        <w:rPr>
          <w:rFonts w:eastAsia="方正黑体_GBK" w:cs="宋体" w:hint="eastAsia"/>
          <w:color w:val="auto"/>
          <w:sz w:val="32"/>
          <w:szCs w:val="32"/>
        </w:rPr>
        <w:t>五、存在的主要问题及改进情况</w:t>
      </w:r>
    </w:p>
    <w:p>
      <w:pPr>
        <w:widowControl/>
        <w:shd w:val="clear" w:color="auto" w:fill="FFFFFF"/>
        <w:spacing w:line="600" w:lineRule="exact"/>
        <w:rPr>
          <w:rFonts w:eastAsia="方正仿宋_GBK" w:cs="宋体" w:hint="eastAsia"/>
          <w:color w:val="auto"/>
          <w:sz w:val="32"/>
          <w:szCs w:val="32"/>
        </w:rPr>
      </w:pPr>
      <w:r>
        <w:rPr>
          <w:rFonts w:eastAsia="方正仿宋_GBK" w:cs="宋体"/>
          <w:color w:val="auto"/>
          <w:sz w:val="32"/>
          <w:szCs w:val="32"/>
        </w:rPr>
        <w:t xml:space="preserve">    </w:t>
      </w:r>
      <w:r>
        <w:rPr>
          <w:rFonts w:eastAsia="方正仿宋_GBK" w:cs="宋体" w:hint="eastAsia"/>
          <w:color w:val="auto"/>
          <w:sz w:val="32"/>
          <w:szCs w:val="32"/>
        </w:rPr>
        <w:t>（一）信息公开渠道有待拓宽，需要探索工作新路子、规范程序，努力做到公开方式的灵活多样，可通过新媒体、网络等多种便于公众知晓的渠道开展工作，让政府信息面向更多的受众，方便其获取信息，提高信息利用率。</w:t>
      </w:r>
    </w:p>
    <w:p>
      <w:pPr>
        <w:widowControl/>
        <w:shd w:val="clear" w:color="auto" w:fill="FFFFFF"/>
        <w:spacing w:line="600" w:lineRule="exact"/>
        <w:ind w:firstLineChars="200" w:firstLine="640"/>
      </w:pPr>
      <w:r>
        <w:rPr>
          <w:rFonts w:eastAsia="方正仿宋_GBK" w:cs="宋体" w:hint="eastAsia"/>
          <w:color w:val="auto"/>
          <w:sz w:val="32"/>
          <w:szCs w:val="32"/>
        </w:rPr>
        <w:t>（二）信息公开工作的开展还不够深入和彻底，存在个别主动公开文件发布不够及时，部分老旧公开信息未按时清理等情况。下一步将切实提升办事和行政效率，强化工作人员业务培训，在强化信息时效性和实现工作规范化等方面下功夫，扎实推进各项有关工作有序开展。</w:t>
      </w:r>
      <w:bookmarkStart w:id="0" w:name="_GoBack"/>
      <w:bookmarkEnd w:id="0"/>
    </w:p>
    <w:sectPr>
      <w:footerReference w:type="default" r:id="rId2"/>
      <w:footerReference w:type="even" r:id="rId3"/>
      <w:pgSz w:w="11906" w:h="16838"/>
      <w:pgMar w:top="2098" w:right="1474" w:bottom="1871" w:left="1588" w:header="851" w:footer="992" w:gutter="0"/>
      <w:titlePg/>
      <w:docGrid w:type="lines" w:linePitch="408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_GB2312">
    <w:altName w:val="仿宋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tabs>
        <w:tab w:val="center" w:pos="4153"/>
        <w:tab w:val="right" w:pos="8306"/>
      </w:tabs>
      <w:jc w:val="right"/>
    </w:pPr>
    <w:r>
      <w:rPr>
        <w:rFonts w:ascii="仿宋_GB2312" w:eastAsia="仿宋_GB2312" w:hint="eastAsia"/>
        <w:sz w:val="30"/>
        <w:szCs w:val="30"/>
      </w:rPr>
      <w:t>—</w:t>
    </w:r>
    <w:r>
      <w:rPr>
        <w:rFonts w:ascii="仿宋_GB2312" w:eastAsia="仿宋_GB2312" w:hint="eastAsia"/>
        <w:sz w:val="30"/>
        <w:szCs w:val="30"/>
      </w:rPr>
      <w:fldChar w:fldCharType="begin"/>
    </w:r>
    <w:r>
      <w:rPr>
        <w:rFonts w:ascii="仿宋_GB2312" w:eastAsia="仿宋_GB2312" w:hint="eastAsia"/>
        <w:sz w:val="30"/>
        <w:szCs w:val="30"/>
      </w:rPr>
      <w:instrText xml:space="preserve"> PAGE   \* MERGEFORMAT </w:instrText>
    </w:r>
    <w:r>
      <w:rPr>
        <w:rFonts w:ascii="仿宋_GB2312" w:eastAsia="仿宋_GB2312" w:hint="eastAsia"/>
        <w:sz w:val="30"/>
        <w:szCs w:val="30"/>
      </w:rPr>
      <w:fldChar w:fldCharType="separate"/>
    </w:r>
    <w:r>
      <w:rPr>
        <w:rFonts w:ascii="仿宋_GB2312" w:eastAsia="仿宋_GB2312"/>
        <w:sz w:val="30"/>
        <w:szCs w:val="30"/>
        <w:lang w:val="zh-CN"/>
      </w:rPr>
      <w:t>3</w:t>
    </w:r>
    <w:r>
      <w:rPr>
        <w:rFonts w:ascii="仿宋_GB2312" w:eastAsia="仿宋_GB2312" w:hint="eastAsia"/>
        <w:sz w:val="30"/>
        <w:szCs w:val="30"/>
      </w:rPr>
      <w:fldChar w:fldCharType="end"/>
    </w:r>
    <w:r>
      <w:rPr>
        <w:rFonts w:ascii="仿宋_GB2312" w:eastAsia="仿宋_GB2312" w:hint="eastAsia"/>
        <w:sz w:val="30"/>
        <w:szCs w:val="30"/>
      </w:rPr>
      <w:t>—</w:t>
    </w:r>
  </w:p>
  <w:p>
    <w:pPr>
      <w:pStyle w:val="15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tabs>
        <w:tab w:val="center" w:pos="4153"/>
        <w:tab w:val="right" w:pos="8306"/>
      </w:tabs>
      <w:jc w:val="left"/>
    </w:pPr>
    <w:r>
      <w:rPr>
        <w:rFonts w:ascii="仿宋_GB2312" w:eastAsia="仿宋_GB2312" w:hint="eastAsia"/>
        <w:sz w:val="30"/>
        <w:szCs w:val="30"/>
      </w:rPr>
      <w:t>—</w:t>
    </w:r>
    <w:r>
      <w:rPr>
        <w:rFonts w:ascii="仿宋_GB2312" w:eastAsia="仿宋_GB2312" w:hint="eastAsia"/>
        <w:sz w:val="30"/>
        <w:szCs w:val="30"/>
      </w:rPr>
      <w:fldChar w:fldCharType="begin"/>
    </w:r>
    <w:r>
      <w:rPr>
        <w:rFonts w:ascii="仿宋_GB2312" w:eastAsia="仿宋_GB2312" w:hint="eastAsia"/>
        <w:sz w:val="30"/>
        <w:szCs w:val="30"/>
      </w:rPr>
      <w:instrText xml:space="preserve"> PAGE   \* MERGEFORMAT </w:instrText>
    </w:r>
    <w:r>
      <w:rPr>
        <w:rFonts w:ascii="仿宋_GB2312" w:eastAsia="仿宋_GB2312" w:hint="eastAsia"/>
        <w:sz w:val="30"/>
        <w:szCs w:val="30"/>
      </w:rPr>
      <w:fldChar w:fldCharType="separate"/>
    </w:r>
    <w:r>
      <w:rPr>
        <w:rFonts w:ascii="仿宋_GB2312" w:eastAsia="仿宋_GB2312"/>
        <w:sz w:val="30"/>
        <w:szCs w:val="30"/>
        <w:lang w:val="zh-CN"/>
      </w:rPr>
      <w:t>2</w:t>
    </w:r>
    <w:r>
      <w:rPr>
        <w:rFonts w:ascii="仿宋_GB2312" w:eastAsia="仿宋_GB2312" w:hint="eastAsia"/>
        <w:sz w:val="30"/>
        <w:szCs w:val="30"/>
      </w:rPr>
      <w:fldChar w:fldCharType="end"/>
    </w:r>
    <w:r>
      <w:rPr>
        <w:rFonts w:ascii="仿宋_GB2312" w:eastAsia="仿宋_GB2312" w:hint="eastAsia"/>
        <w:sz w:val="30"/>
        <w:szCs w:val="30"/>
      </w:rPr>
      <w:t>—</w:t>
    </w:r>
  </w:p>
  <w:p>
    <w:pPr>
      <w:pStyle w:val="15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efaultTabStop w:val="420"/>
  <w:drawingGridHorizontalSpacing w:val="15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Normal (Web)"/>
    <w:basedOn w:val="0"/>
    <w:pPr>
      <w:spacing w:beforeAutospacing="1" w:afterAutospacing="1"/>
      <w:jc w:val="left"/>
    </w:pPr>
    <w:rPr>
      <w:kern w:val="0"/>
      <w:sz w:val="24"/>
    </w:rPr>
  </w:style>
  <w:style w:type="paragraph" w:customStyle="1" w:styleId="17">
    <w:name w:val="样式 2 小四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Times New Roman" w:hAnsi="Times New Roman"/>
      <w:snapToGrid/>
      <w:color w:val="auto"/>
      <w:spacing w:val="0"/>
      <w:w w:val="100"/>
      <w:kern w:val="0"/>
      <w:position w:val="0"/>
      <w:sz w:val="24"/>
      <w:szCs w:val="30"/>
      <w:u w:val="none" w:color="auto"/>
      <w:bdr w:val="none" w:sz="0" w:space="0" w:color="auto"/>
      <w:vertAlign w:val="baseline"/>
      <w:em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151</TotalTime>
  <Application>Yozo_Office</Application>
  <Pages>7</Pages>
  <Words>2712</Words>
  <Characters>2765</Characters>
  <Lines>433</Lines>
  <Paragraphs>303</Paragraphs>
  <CharactersWithSpaces>2977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ldd</dc:creator>
  <cp:lastModifiedBy>李亚莅</cp:lastModifiedBy>
  <cp:revision>0</cp:revision>
  <dcterms:created xsi:type="dcterms:W3CDTF">2019-11-29T07:41:00Z</dcterms:created>
  <dcterms:modified xsi:type="dcterms:W3CDTF">2020-01-21T08:20:10Z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2052-10.8.2.6990</vt:lpwstr>
  </property>
</Properties>
</file>