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80" w:lineRule="exact"/>
        <w:jc w:val="center"/>
        <w:rPr>
          <w:rFonts w:eastAsia="方正仿宋_GBK" w:cs="方正仿宋_GBK"/>
          <w:sz w:val="32"/>
          <w:szCs w:val="32"/>
        </w:rPr>
      </w:pPr>
      <w:r>
        <w:rPr>
          <w:rFonts w:eastAsia="方正小标宋_GBK" w:cs="方正小标宋_GBK" w:hint="eastAsia"/>
          <w:sz w:val="44"/>
          <w:szCs w:val="44"/>
        </w:rPr>
        <w:t>爱店海关2019年政府信息公开</w:t>
      </w:r>
      <w:r>
        <w:rPr>
          <w:rFonts w:eastAsia="方正小标宋_GBK" w:cs="方正小标宋_GBK"/>
          <w:sz w:val="44"/>
          <w:szCs w:val="44"/>
        </w:rPr>
        <w:t>工作年度报告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400" w:lineRule="exact"/>
        <w:jc w:val="both"/>
        <w:rPr>
          <w:rFonts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1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left="0" w:firstLineChars="200" w:firstLine="640"/>
        <w:jc w:val="both"/>
        <w:rPr>
          <w:rFonts w:eastAsia="方正仿宋_GBK"/>
          <w:bCs/>
          <w:sz w:val="32"/>
          <w:szCs w:val="32"/>
        </w:rPr>
      </w:pPr>
      <w:r>
        <w:rPr>
          <w:rFonts w:eastAsia="方正仿宋_GBK" w:cs="楷体_GB2312"/>
          <w:bCs/>
          <w:sz w:val="32"/>
          <w:szCs w:val="32"/>
          <w:shd w:val="clear" w:color="auto" w:fill="FFFFFF"/>
          <w:lang w:bidi="ar-SA"/>
        </w:rPr>
        <w:t>根据《中华人民共和国政府信息公开条例》（国令711号）要求</w:t>
      </w:r>
      <w:r>
        <w:rPr>
          <w:rFonts w:eastAsia="方正仿宋_GBK" w:cs="楷体_GB2312" w:hint="eastAsia"/>
          <w:bCs/>
          <w:sz w:val="32"/>
          <w:szCs w:val="32"/>
          <w:shd w:val="clear" w:color="auto" w:fill="FFFFFF"/>
          <w:lang w:bidi="ar-SA"/>
        </w:rPr>
        <w:t>，</w:t>
      </w:r>
      <w:r>
        <w:rPr>
          <w:rFonts w:eastAsia="方正仿宋_GBK"/>
          <w:bCs/>
          <w:sz w:val="32"/>
          <w:szCs w:val="32"/>
        </w:rPr>
        <w:t>现将我关2019年政府信息公开工作开展情况公开如下：</w:t>
      </w:r>
      <w:bookmarkStart w:id="0" w:name="cogw__抄送单位__Text"/>
      <w:bookmarkEnd w:id="0"/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 w:cs="楷体_GB2312"/>
          <w:sz w:val="32"/>
          <w:szCs w:val="32"/>
          <w:shd w:val="clear" w:color="auto" w:fill="FFFFFF"/>
        </w:rPr>
      </w:pPr>
      <w:r>
        <w:rPr>
          <w:rFonts w:eastAsia="方正仿宋_GBK" w:cs="楷体_GB2312" w:hint="eastAsia"/>
          <w:sz w:val="32"/>
          <w:szCs w:val="32"/>
          <w:shd w:val="clear" w:color="auto" w:fill="FFFFFF"/>
        </w:rPr>
        <w:t>全面推进政府信息公开是保障人民群众知情权、参与权、表达权和监督权的重要手段，对于提升政府治理能力，增强政府公信力、执行力具有重要意义。爱店海关认真贯彻落实《中华人民共和国政府信息公开条例》和</w:t>
      </w:r>
      <w:r>
        <w:rPr>
          <w:rFonts w:eastAsia="方正仿宋_GBK" w:cs="楷体_GB2312" w:hint="eastAsia"/>
          <w:bCs/>
          <w:sz w:val="32"/>
          <w:szCs w:val="32"/>
          <w:shd w:val="clear" w:color="auto" w:fill="FFFFFF"/>
        </w:rPr>
        <w:t>《南宁海关政务公开实施办法》（南关办〔2018〕83号）</w:t>
      </w:r>
      <w:r>
        <w:rPr>
          <w:rFonts w:eastAsia="方正仿宋_GBK" w:cs="楷体_GB2312" w:hint="eastAsia"/>
          <w:sz w:val="32"/>
          <w:szCs w:val="32"/>
          <w:shd w:val="clear" w:color="auto" w:fill="FFFFFF"/>
        </w:rPr>
        <w:t>等文件精神，以依法行政、提高效能、建设服务型海关为目标，积极快速回应群众和企业的信息公开诉求，扎实推进政务公开各项工作。作为新成立海关，2019年度，爱店海关积极推进政府信息公开工作，公开规范性文件17份，行政许可信息1条，行政处罚信息58条，在深化政府信息公开内容、加强政府信息公开基础性工作等方面取得了新的进展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本年新</w:t>
              <w:br/>
            </w:r>
            <w:r>
              <w:rPr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17</w:t>
            </w:r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1</w:t>
            </w:r>
          </w:p>
        </w:tc>
      </w:tr>
      <w:tr>
        <w:trPr>
          <w:trHeight w:val="635"/>
        </w:trPr>
        <w:tc>
          <w:tcPr>
            <w:tcW w:w="3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58</w:t>
            </w:r>
          </w:p>
        </w:tc>
      </w:tr>
      <w:tr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="240" w:afterAutospacing="0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="240" w:afterAutospacing="0"/>
        <w:ind w:firstLineChars="200" w:firstLine="640"/>
        <w:jc w:val="both"/>
        <w:rPr>
          <w:rFonts w:cs="宋体"/>
          <w:szCs w:val="24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  <w:r>
              <w:rPr>
                <w:rFonts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kern w:val="0"/>
                <w:sz w:val="24"/>
                <w:szCs w:val="24"/>
              </w:rPr>
              <w:t> </w:t>
            </w:r>
            <w:r>
              <w:rPr>
                <w:rFonts w:cs="Calibri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五、存在的主要问题及改进情况</w:t>
      </w:r>
    </w:p>
    <w:p>
      <w:pPr>
        <w:spacing w:line="560" w:lineRule="exact"/>
        <w:ind w:firstLineChars="200" w:firstLine="640"/>
        <w:rPr>
          <w:rFonts w:eastAsia="方正楷体_GBK" w:hint="eastAsia"/>
          <w:b/>
          <w:sz w:val="32"/>
          <w:szCs w:val="32"/>
        </w:rPr>
      </w:pPr>
      <w:r>
        <w:rPr>
          <w:rFonts w:eastAsia="方正楷体_GBK" w:hint="eastAsia"/>
          <w:b/>
          <w:sz w:val="32"/>
          <w:szCs w:val="32"/>
        </w:rPr>
        <w:t>(一)存在问题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存在规范性文件政策解读工作开展不够主动的问题。主要体现在解读信息发布时效性较差，未能按照要求实行解读内容与海关政策文件的同步公开。政策解读的内容质量不高，缺少专家参与解读的情形，解读不够深入、到位。展示形式较为简单原始，主要在公告栏进行张贴公告。</w:t>
      </w:r>
    </w:p>
    <w:p>
      <w:pPr>
        <w:spacing w:line="560" w:lineRule="exact"/>
        <w:ind w:firstLineChars="200" w:firstLine="640"/>
        <w:rPr>
          <w:rFonts w:eastAsia="方正楷体_GBK" w:hint="eastAsia"/>
          <w:b/>
          <w:sz w:val="32"/>
          <w:szCs w:val="32"/>
        </w:rPr>
      </w:pPr>
      <w:r>
        <w:rPr>
          <w:rFonts w:eastAsia="方正楷体_GBK" w:hint="eastAsia"/>
          <w:b/>
          <w:sz w:val="32"/>
          <w:szCs w:val="32"/>
        </w:rPr>
        <w:t>（二）改进措施</w:t>
      </w:r>
    </w:p>
    <w:p>
      <w:pPr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一是加强政策解读工作主动性，争取做到解读内容与海关政策文件的同步公开。二是对边民常见政策问题进行梳理，提高政策解读的针对性和有效性。三是对政策中把握不准的难点疑点，积极邀请总关专家进行解答，提高政策解读质量。四是在资金允许的情况下，购买自主查询一体机，方</w:t>
      </w:r>
      <w:bookmarkStart w:id="1" w:name="_GoBack"/>
      <w:bookmarkEnd w:id="1"/>
      <w:r>
        <w:rPr>
          <w:rFonts w:eastAsia="方正仿宋_GBK" w:hint="eastAsia"/>
          <w:sz w:val="32"/>
          <w:szCs w:val="32"/>
        </w:rPr>
        <w:t>便边民查询政策文件</w:t>
      </w:r>
      <w:r>
        <w:rPr>
          <w:rFonts w:eastAsia="方正仿宋_GBK"/>
          <w:sz w:val="32"/>
          <w:szCs w:val="32"/>
        </w:rPr>
        <w:t>。</w:t>
      </w:r>
    </w:p>
    <w:sectPr>
      <w:footerReference w:type="default" r:id="rId2"/>
      <w:footerReference w:type="even" r:id="rId3"/>
      <w:pgSz w:w="11906" w:h="16838"/>
      <w:pgMar w:top="2098" w:right="1474" w:bottom="1871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0000000000000000000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20">
    <w:name w:val="index 9"/>
    <w:basedOn w:val="0"/>
    <w:autoRedefine/>
    <w:next w:val="0"/>
    <w:pPr>
      <w:ind w:left="3360"/>
    </w:pPr>
  </w:style>
  <w:style w:type="paragraph" w:customStyle="1" w:styleId="21">
    <w:name w:val="样式 小四"/>
    <w:next w:val="20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5</Pages>
  <Words>1510</Words>
  <Characters>1547</Characters>
  <Lines>384</Lines>
  <Paragraphs>297</Paragraphs>
  <CharactersWithSpaces>1671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李亚莅</cp:lastModifiedBy>
  <cp:revision>2</cp:revision>
  <dcterms:created xsi:type="dcterms:W3CDTF">2020-01-15T03:51:00Z</dcterms:created>
  <dcterms:modified xsi:type="dcterms:W3CDTF">2020-01-21T08:31:24Z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