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adjustRightInd w:val="0"/>
        <w:snapToGrid w:val="0"/>
        <w:spacing w:line="560" w:lineRule="exact"/>
        <w:jc w:val="center"/>
        <w:outlineLvl w:val="0"/>
        <w:rPr>
          <w:rFonts w:eastAsia="方正小标宋_GBK" w:cs="方正小标宋_GBK" w:hint="eastAsia"/>
          <w:sz w:val="44"/>
          <w:szCs w:val="44"/>
          <w:bdr w:val="none" w:sz="0" w:space="0" w:color="auto"/>
          <w:shd w:val="clear" w:color="auto" w:fill="auto"/>
        </w:rPr>
      </w:pPr>
      <w:bookmarkStart w:id="0" w:name="_Hlk25540369"/>
      <w:r>
        <w:rPr>
          <w:rFonts w:eastAsia="方正小标宋_GBK" w:cs="方正小标宋_GBK" w:hint="eastAsia"/>
          <w:sz w:val="44"/>
          <w:szCs w:val="44"/>
          <w:bdr w:val="none" w:sz="0" w:space="0" w:color="auto"/>
          <w:shd w:val="clear" w:color="auto" w:fill="auto"/>
        </w:rPr>
        <w:t>贺州海关2019年政府信息公开工作年度报告</w:t>
      </w:r>
    </w:p>
    <w:p>
      <w:pPr>
        <w:spacing w:line="580" w:lineRule="exact"/>
        <w:jc w:val="left"/>
        <w:rPr>
          <w:rFonts w:eastAsia="黑体" w:cs="方正小标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方正黑体_GBK" w:cs="楷体_GB2312"/>
          <w:bCs/>
          <w:sz w:val="32"/>
          <w:szCs w:val="32"/>
          <w:bdr w:val="none" w:sz="0" w:space="0" w:color="auto"/>
          <w:shd w:val="clear" w:color="auto" w:fill="auto"/>
        </w:rPr>
      </w:pPr>
      <w:bookmarkEnd w:id="0"/>
      <w:r>
        <w:rPr>
          <w:rFonts w:eastAsia="方正仿宋_GBK" w:cs="宋体" w:hint="eastAsia"/>
          <w:bCs/>
          <w:kern w:val="0"/>
          <w:sz w:val="32"/>
          <w:szCs w:val="32"/>
        </w:rPr>
        <w:t>根据《中华人民共和国政府信息公开条例》（以下简称《条例》）和</w:t>
      </w:r>
      <w:r>
        <w:rPr>
          <w:rFonts w:eastAsia="方正仿宋_GBK" w:cs="宋体"/>
          <w:bCs/>
          <w:kern w:val="0"/>
          <w:sz w:val="32"/>
          <w:szCs w:val="32"/>
        </w:rPr>
        <w:t>海关总署</w:t>
      </w:r>
      <w:r>
        <w:rPr>
          <w:rFonts w:eastAsia="方正仿宋_GBK" w:cs="宋体" w:hint="eastAsia"/>
          <w:bCs/>
          <w:kern w:val="0"/>
          <w:sz w:val="32"/>
          <w:szCs w:val="32"/>
        </w:rPr>
        <w:t>、自治区人民政府有关政府信息公开工作年度报告的要求，贺州海关编制了201</w:t>
      </w:r>
      <w:r>
        <w:rPr>
          <w:rFonts w:eastAsia="方正仿宋_GBK" w:cs="宋体"/>
          <w:bCs/>
          <w:kern w:val="0"/>
          <w:sz w:val="32"/>
          <w:szCs w:val="32"/>
        </w:rPr>
        <w:t>9</w:t>
      </w:r>
      <w:r>
        <w:rPr>
          <w:rFonts w:eastAsia="方正仿宋_GBK" w:cs="宋体" w:hint="eastAsia"/>
          <w:bCs/>
          <w:kern w:val="0"/>
          <w:sz w:val="32"/>
          <w:szCs w:val="32"/>
        </w:rPr>
        <w:t>年政府信息公开工作年度报告，内容包括信息公开工作的基本情况、围绕国家和自治区中心工作推进政府信息公开情况、主动公开信息情况、依申请公开信息和不予公开信息情况、信息公开收费及减免情况、因信息公开申请行政复议或提起行政诉讼情况、信息公开工作存在的主要问题及下一步工作安排等。报告中所列数据的统计期限自201</w:t>
      </w:r>
      <w:r>
        <w:rPr>
          <w:rFonts w:eastAsia="方正仿宋_GBK" w:cs="宋体"/>
          <w:bCs/>
          <w:kern w:val="0"/>
          <w:sz w:val="32"/>
          <w:szCs w:val="32"/>
        </w:rPr>
        <w:t>9</w:t>
      </w:r>
      <w:r>
        <w:rPr>
          <w:rFonts w:eastAsia="方正仿宋_GBK" w:cs="宋体" w:hint="eastAsia"/>
          <w:bCs/>
          <w:kern w:val="0"/>
          <w:sz w:val="32"/>
          <w:szCs w:val="32"/>
        </w:rPr>
        <w:t>年1月1日至12月31日止。</w:t>
      </w:r>
    </w:p>
    <w:p>
      <w:pPr>
        <w:spacing w:line="560" w:lineRule="exact"/>
        <w:ind w:firstLineChars="200" w:firstLine="640"/>
        <w:rPr>
          <w:rFonts w:eastAsia="楷体_GB2312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bdr w:val="none" w:sz="0" w:space="0" w:color="auto"/>
          <w:shd w:val="clear" w:color="auto" w:fill="auto"/>
        </w:rPr>
        <w:t xml:space="preserve"> 一、总体情况</w:t>
      </w:r>
    </w:p>
    <w:p>
      <w:pPr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  <w:bdr w:val="none" w:sz="0" w:space="0" w:color="auto"/>
        </w:rPr>
      </w:pPr>
      <w:r>
        <w:rPr>
          <w:rStyle w:val="0"/>
          <w:rFonts w:eastAsia="方正仿宋_GBK" w:cs="楷体_GB2312" w:hint="eastAsia"/>
          <w:kern w:val="0"/>
          <w:sz w:val="32"/>
          <w:szCs w:val="32"/>
          <w:bdr w:val="none" w:sz="0" w:space="0" w:color="auto"/>
          <w:shd w:val="clear" w:color="auto" w:fill="auto"/>
        </w:rPr>
        <w:t xml:space="preserve"> </w:t>
      </w:r>
      <w:r>
        <w:rPr>
          <w:rStyle w:val="0"/>
          <w:rFonts w:eastAsia="方正仿宋_GBK" w:cs="宋体" w:hint="eastAsia"/>
          <w:bCs/>
          <w:kern w:val="0"/>
          <w:sz w:val="32"/>
          <w:szCs w:val="32"/>
          <w:bdr w:val="none" w:sz="0" w:space="0" w:color="auto"/>
        </w:rPr>
        <w:t>2019年，</w:t>
      </w:r>
      <w:r>
        <w:rPr>
          <w:rFonts w:eastAsia="方正仿宋_GBK" w:cs="宋体" w:hint="eastAsia"/>
          <w:bCs/>
          <w:kern w:val="0"/>
          <w:sz w:val="32"/>
          <w:szCs w:val="32"/>
          <w:bdr w:val="none" w:sz="0" w:space="0" w:color="auto"/>
        </w:rPr>
        <w:t>我关继续贯彻落实《条例》，根据自治区人民政府、南宁海关有关政府信息公开工作的部署和要求，围绕贺州海关工作实际和公众关切热点，进一步健全工作机制，完善信息公开内容，加强公开平台建设，不断深化政府信息公开工作。</w:t>
      </w:r>
    </w:p>
    <w:p>
      <w:pPr>
        <w:spacing w:line="560" w:lineRule="exact"/>
        <w:ind w:firstLineChars="200" w:firstLine="640"/>
        <w:rPr>
          <w:rStyle w:val="0"/>
          <w:rFonts w:eastAsia="方正仿宋_GBK" w:cs="宋体"/>
          <w:bCs/>
          <w:kern w:val="0"/>
          <w:sz w:val="32"/>
          <w:szCs w:val="32"/>
          <w:bdr w:val="none" w:sz="0" w:space="0" w:color="auto"/>
        </w:rPr>
      </w:pPr>
      <w:r>
        <w:rPr>
          <w:rStyle w:val="0"/>
          <w:rFonts w:eastAsia="方正仿宋_GBK" w:cs="宋体" w:hint="eastAsia"/>
          <w:bCs/>
          <w:kern w:val="0"/>
          <w:sz w:val="32"/>
          <w:szCs w:val="32"/>
          <w:bdr w:val="none" w:sz="0" w:space="0" w:color="auto"/>
        </w:rPr>
        <w:t>贺州海关作为2019年新成立的海关，总署批复与2019年3月15日起使用7223关区代码开办相关海关业务。贺州辖区没有口岸业务，属地报关业务还未有企业申报，行政处罚案件也没有发生，目前网站建设也在逐步修改完善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400" w:lineRule="exact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 xml:space="preserve">  </w:t>
      </w:r>
      <w:r>
        <w:rPr>
          <w:rFonts w:eastAsia="方正黑体_GBK" w:cs="楷体_GB2312" w:hint="eastAsia"/>
          <w:bCs/>
          <w:sz w:val="32"/>
          <w:szCs w:val="32"/>
          <w:bdr w:val="none" w:sz="0" w:space="0" w:color="auto"/>
          <w:shd w:val="clear" w:color="auto" w:fill="auto"/>
        </w:rPr>
        <w:t xml:space="preserve">  二、主动公开政府信息情况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</w:rPr>
      </w:pPr>
      <w:r>
        <w:rPr>
          <w:rFonts w:eastAsia="方正仿宋_GBK" w:cs="宋体" w:hint="eastAsia"/>
          <w:b/>
          <w:bCs/>
          <w:kern w:val="0"/>
          <w:sz w:val="32"/>
          <w:szCs w:val="32"/>
        </w:rPr>
        <w:t>（一）加强组织领导，不断完善工作机制。</w:t>
      </w:r>
      <w:r>
        <w:rPr>
          <w:rFonts w:eastAsia="方正仿宋_GBK" w:cs="宋体" w:hint="eastAsia"/>
          <w:bCs/>
          <w:kern w:val="0"/>
          <w:sz w:val="32"/>
          <w:szCs w:val="32"/>
        </w:rPr>
        <w:t>根据领导职务变动和工作需求，重新调整政府信息公开工作分管领导、具体工作人员、工作职责</w:t>
      </w:r>
      <w:r>
        <w:rPr>
          <w:rFonts w:eastAsia="方正仿宋_GBK" w:cs="宋体"/>
          <w:bCs/>
          <w:kern w:val="0"/>
          <w:sz w:val="32"/>
          <w:szCs w:val="32"/>
        </w:rPr>
        <w:t>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</w:rPr>
      </w:pPr>
      <w:r>
        <w:rPr>
          <w:rFonts w:eastAsia="方正仿宋_GBK" w:cs="宋体" w:hint="eastAsia"/>
          <w:b/>
          <w:bCs/>
          <w:kern w:val="0"/>
          <w:sz w:val="32"/>
          <w:szCs w:val="32"/>
        </w:rPr>
        <w:t>（</w:t>
      </w:r>
      <w:r>
        <w:rPr>
          <w:rFonts w:eastAsia="方正仿宋_GBK" w:cs="宋体"/>
          <w:b/>
          <w:bCs/>
          <w:kern w:val="0"/>
          <w:sz w:val="32"/>
          <w:szCs w:val="32"/>
        </w:rPr>
        <w:t>二</w:t>
      </w:r>
      <w:r>
        <w:rPr>
          <w:rFonts w:eastAsia="方正仿宋_GBK" w:cs="宋体" w:hint="eastAsia"/>
          <w:b/>
          <w:bCs/>
          <w:kern w:val="0"/>
          <w:sz w:val="32"/>
          <w:szCs w:val="32"/>
        </w:rPr>
        <w:t>）丰富载体，拓宽信息公开渠道。</w:t>
      </w:r>
      <w:r>
        <w:rPr>
          <w:rFonts w:eastAsia="方正仿宋_GBK" w:cs="宋体" w:hint="eastAsia"/>
          <w:bCs/>
          <w:kern w:val="0"/>
          <w:sz w:val="32"/>
          <w:szCs w:val="32"/>
        </w:rPr>
        <w:t>通过</w:t>
      </w:r>
      <w:r>
        <w:rPr>
          <w:rFonts w:eastAsia="方正仿宋_GBK" w:cs="宋体"/>
          <w:bCs/>
          <w:kern w:val="0"/>
          <w:sz w:val="32"/>
          <w:szCs w:val="32"/>
        </w:rPr>
        <w:t>总关</w:t>
      </w:r>
      <w:r>
        <w:rPr>
          <w:rFonts w:eastAsia="方正仿宋_GBK" w:cs="宋体" w:hint="eastAsia"/>
          <w:bCs/>
          <w:kern w:val="0"/>
          <w:sz w:val="32"/>
          <w:szCs w:val="32"/>
        </w:rPr>
        <w:t>门户网站、自治区政府信息公开统一平台、报</w:t>
      </w:r>
      <w:r>
        <w:rPr>
          <w:rFonts w:eastAsia="方正仿宋_GBK" w:cs="宋体"/>
          <w:bCs/>
          <w:kern w:val="0"/>
          <w:sz w:val="32"/>
          <w:szCs w:val="32"/>
        </w:rPr>
        <w:t>关</w:t>
      </w:r>
      <w:r>
        <w:rPr>
          <w:rFonts w:eastAsia="方正仿宋_GBK" w:cs="宋体" w:hint="eastAsia"/>
          <w:bCs/>
          <w:kern w:val="0"/>
          <w:sz w:val="32"/>
          <w:szCs w:val="32"/>
        </w:rPr>
        <w:t>大厅触摸屏等方式，多渠道主动公布社会热点、民生关注的海关信息，充分发挥发挥网站作为信息</w:t>
      </w:r>
      <w:r>
        <w:rPr>
          <w:rFonts w:eastAsia="方正仿宋_GBK" w:cs="宋体" w:hint="eastAsia"/>
          <w:color w:val="000000"/>
          <w:kern w:val="0"/>
          <w:sz w:val="32"/>
          <w:szCs w:val="32"/>
        </w:rPr>
        <w:t>公开的</w:t>
      </w:r>
      <w:r>
        <w:rPr>
          <w:rFonts w:eastAsia="方正仿宋_GBK" w:cs="宋体" w:hint="eastAsia"/>
          <w:bCs/>
          <w:kern w:val="0"/>
          <w:sz w:val="32"/>
          <w:szCs w:val="32"/>
        </w:rPr>
        <w:t>阵地、平台和渠道作用。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</w:rPr>
      </w:pPr>
      <w:r>
        <w:rPr>
          <w:rFonts w:eastAsia="方正仿宋_GBK" w:cs="宋体" w:hint="eastAsia"/>
          <w:bCs/>
          <w:kern w:val="0"/>
          <w:sz w:val="32"/>
          <w:szCs w:val="32"/>
        </w:rPr>
        <w:t>重点公开的信息有：海关通关一体化政策、出口食品农产品质量安全示范区建设、原产地签证工作开展情况、权力清单和责任清单以及收费目录清单、收费政策法规等。主动公开社会关注的海关信息，帮助市民、外贸企业、行政相对人知晓有关政策，发挥海关服务地方经济发展的技术、政策信息优势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</w:rPr>
      </w:pPr>
      <w:r>
        <w:rPr>
          <w:rFonts w:eastAsia="方正仿宋_GBK" w:cs="宋体" w:hint="eastAsia"/>
          <w:bCs/>
          <w:kern w:val="0"/>
          <w:sz w:val="32"/>
          <w:szCs w:val="32"/>
        </w:rPr>
        <w:t>201</w:t>
      </w:r>
      <w:r>
        <w:rPr>
          <w:rFonts w:eastAsia="方正仿宋_GBK" w:cs="宋体"/>
          <w:bCs/>
          <w:kern w:val="0"/>
          <w:sz w:val="32"/>
          <w:szCs w:val="32"/>
        </w:rPr>
        <w:t>9</w:t>
      </w:r>
      <w:r>
        <w:rPr>
          <w:rFonts w:eastAsia="方正仿宋_GBK" w:cs="宋体" w:hint="eastAsia"/>
          <w:bCs/>
          <w:kern w:val="0"/>
          <w:sz w:val="32"/>
          <w:szCs w:val="32"/>
        </w:rPr>
        <w:t>年，贺州</w:t>
      </w:r>
      <w:r>
        <w:rPr>
          <w:rFonts w:eastAsia="方正仿宋_GBK" w:cs="宋体"/>
          <w:bCs/>
          <w:kern w:val="0"/>
          <w:sz w:val="32"/>
          <w:szCs w:val="32"/>
        </w:rPr>
        <w:t>海关</w:t>
      </w:r>
      <w:r>
        <w:rPr>
          <w:rFonts w:eastAsia="方正仿宋_GBK" w:cs="宋体" w:hint="eastAsia"/>
          <w:bCs/>
          <w:kern w:val="0"/>
          <w:sz w:val="32"/>
          <w:szCs w:val="32"/>
        </w:rPr>
        <w:t>通过</w:t>
      </w:r>
      <w:r>
        <w:rPr>
          <w:rFonts w:eastAsia="方正仿宋_GBK" w:cs="宋体"/>
          <w:bCs/>
          <w:kern w:val="0"/>
          <w:sz w:val="32"/>
          <w:szCs w:val="32"/>
        </w:rPr>
        <w:t>报关大厅LED显示屏、触摸显示屏、政务公开张贴栏等公示27条</w:t>
      </w:r>
      <w:r>
        <w:rPr>
          <w:rFonts w:eastAsia="方正仿宋_GBK" w:cs="宋体" w:hint="eastAsia"/>
          <w:bCs/>
          <w:kern w:val="0"/>
          <w:sz w:val="32"/>
          <w:szCs w:val="32"/>
        </w:rPr>
        <w:t>，内容涉及</w:t>
      </w:r>
      <w:r>
        <w:rPr>
          <w:rFonts w:eastAsia="方正仿宋_GBK" w:cs="宋体"/>
          <w:bCs/>
          <w:kern w:val="0"/>
          <w:sz w:val="32"/>
          <w:szCs w:val="32"/>
        </w:rPr>
        <w:t>服务指南、业务工作流程、总署公告</w:t>
      </w:r>
      <w:r>
        <w:rPr>
          <w:rFonts w:eastAsia="方正仿宋_GBK" w:cs="宋体" w:hint="eastAsia"/>
          <w:bCs/>
          <w:kern w:val="0"/>
          <w:sz w:val="32"/>
          <w:szCs w:val="32"/>
        </w:rPr>
        <w:t>、</w:t>
      </w:r>
      <w:r>
        <w:rPr>
          <w:rFonts w:eastAsia="方正仿宋_GBK" w:cs="宋体"/>
          <w:bCs/>
          <w:kern w:val="0"/>
          <w:sz w:val="32"/>
          <w:szCs w:val="32"/>
        </w:rPr>
        <w:t>办事指南、</w:t>
      </w:r>
      <w:r>
        <w:rPr>
          <w:rFonts w:eastAsia="方正仿宋_GBK" w:cs="宋体" w:hint="eastAsia"/>
          <w:bCs/>
          <w:kern w:val="0"/>
          <w:sz w:val="32"/>
          <w:szCs w:val="32"/>
        </w:rPr>
        <w:t>政策法规等方面。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政务信息公开第二十条第（一）项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0</w:t>
            </w:r>
            <w:bookmarkStart w:id="1" w:name="_GoBack"/>
            <w:bookmarkEnd w:id="1"/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635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Autospacing="0" w:line="64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p>
      <w:pPr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</w:rPr>
      </w:pPr>
      <w:r>
        <w:rPr>
          <w:rStyle w:val="0"/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2019年我关</w:t>
      </w:r>
      <w:r>
        <w:rPr>
          <w:rFonts w:eastAsia="方正仿宋_GBK" w:cs="宋体" w:hint="eastAsia"/>
          <w:bCs/>
          <w:kern w:val="0"/>
          <w:sz w:val="32"/>
          <w:szCs w:val="32"/>
        </w:rPr>
        <w:t>坚持</w:t>
      </w:r>
      <w:r>
        <w:rPr>
          <w:rFonts w:eastAsia="方正仿宋_GBK" w:cs="宋体"/>
          <w:bCs/>
          <w:kern w:val="0"/>
          <w:sz w:val="32"/>
          <w:szCs w:val="32"/>
        </w:rPr>
        <w:t>以</w:t>
      </w:r>
      <w:r>
        <w:rPr>
          <w:rFonts w:eastAsia="方正仿宋_GBK" w:cs="宋体" w:hint="eastAsia"/>
          <w:bCs/>
          <w:kern w:val="0"/>
          <w:sz w:val="32"/>
          <w:szCs w:val="32"/>
        </w:rPr>
        <w:t>“</w:t>
      </w:r>
      <w:r>
        <w:rPr>
          <w:rFonts w:eastAsia="方正仿宋_GBK" w:cs="宋体"/>
          <w:bCs/>
          <w:kern w:val="0"/>
          <w:sz w:val="32"/>
          <w:szCs w:val="32"/>
        </w:rPr>
        <w:t>公开为常态，不公开为例外</w:t>
      </w:r>
      <w:r>
        <w:rPr>
          <w:rFonts w:eastAsia="方正仿宋_GBK" w:cs="宋体" w:hint="eastAsia"/>
          <w:bCs/>
          <w:kern w:val="0"/>
          <w:sz w:val="32"/>
          <w:szCs w:val="32"/>
        </w:rPr>
        <w:t>”</w:t>
      </w:r>
      <w:r>
        <w:rPr>
          <w:rFonts w:eastAsia="方正仿宋_GBK" w:cs="宋体"/>
          <w:bCs/>
          <w:kern w:val="0"/>
          <w:sz w:val="32"/>
          <w:szCs w:val="32"/>
        </w:rPr>
        <w:t>的</w:t>
      </w:r>
      <w:r>
        <w:rPr>
          <w:rFonts w:eastAsia="方正仿宋_GBK" w:cs="宋体" w:hint="eastAsia"/>
          <w:bCs/>
          <w:kern w:val="0"/>
          <w:sz w:val="32"/>
          <w:szCs w:val="32"/>
        </w:rPr>
        <w:t>原则，从资料采集到信息公开，做到专人负责，领导审阅、签批，确保信息数据准确详实</w:t>
      </w:r>
      <w:r>
        <w:rPr>
          <w:rFonts w:eastAsia="方正仿宋_GBK" w:cs="宋体"/>
          <w:bCs/>
          <w:kern w:val="0"/>
          <w:sz w:val="32"/>
          <w:szCs w:val="32"/>
        </w:rPr>
        <w:t>，</w:t>
      </w:r>
      <w:r>
        <w:rPr>
          <w:rStyle w:val="0"/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未收到就信息公开工作不满而提交的举报来信</w:t>
      </w:r>
      <w:r>
        <w:rPr>
          <w:rStyle w:val="0"/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，</w:t>
      </w:r>
      <w:r>
        <w:rPr>
          <w:rStyle w:val="0"/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未对信息公开项目收取费用</w:t>
      </w:r>
      <w:r>
        <w:rPr>
          <w:rStyle w:val="0"/>
          <w:rFonts w:eastAsia="方正仿宋_GBK" w:cs="楷体_GB2312"/>
          <w:kern w:val="0"/>
          <w:sz w:val="32"/>
          <w:szCs w:val="32"/>
          <w:bdr w:val="none" w:sz="0" w:space="0" w:color="auto"/>
          <w:shd w:val="clear" w:color="auto" w:fill="auto"/>
        </w:rPr>
        <w:t>。</w:t>
      </w:r>
      <w:r>
        <w:rPr>
          <w:rFonts w:eastAsia="方正仿宋_GBK" w:cs="宋体" w:hint="eastAsia"/>
          <w:bCs/>
          <w:kern w:val="0"/>
          <w:sz w:val="32"/>
          <w:szCs w:val="32"/>
        </w:rPr>
        <w:t>无政府信息公开收费及费用减免情况产生。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napToGrid w:val="0"/>
        <w:spacing w:beforeAutospacing="0" w:afterAutospacing="0" w:line="160" w:lineRule="atLeas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spacing w:line="560" w:lineRule="exact"/>
        <w:ind w:firstLineChars="200" w:firstLine="640"/>
        <w:rPr>
          <w:rFonts w:eastAsia="方正仿宋_GBK" w:cs="宋体" w:hint="eastAsia"/>
          <w:bCs/>
          <w:kern w:val="0"/>
          <w:sz w:val="32"/>
          <w:szCs w:val="32"/>
        </w:rPr>
      </w:pPr>
      <w:r>
        <w:rPr>
          <w:rStyle w:val="0"/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2019年</w:t>
      </w:r>
      <w:r>
        <w:rPr>
          <w:rStyle w:val="0"/>
          <w:rFonts w:eastAsia="方正仿宋_GBK" w:hint="eastAsia"/>
          <w:kern w:val="0"/>
          <w:sz w:val="32"/>
          <w:szCs w:val="32"/>
          <w:bdr w:val="none" w:sz="0" w:space="0" w:color="auto"/>
          <w:shd w:val="clear" w:color="auto" w:fill="auto"/>
        </w:rPr>
        <w:t>我关未出现在政府信息公开工作方面的行政复议和行政诉讼事项</w:t>
      </w:r>
      <w:r>
        <w:rPr>
          <w:rStyle w:val="0"/>
          <w:rFonts w:eastAsia="方正仿宋_GBK"/>
          <w:kern w:val="0"/>
          <w:sz w:val="32"/>
          <w:szCs w:val="32"/>
          <w:bdr w:val="none" w:sz="0" w:space="0" w:color="auto"/>
          <w:shd w:val="clear" w:color="auto" w:fill="auto"/>
        </w:rPr>
        <w:t>。</w:t>
      </w:r>
      <w:r>
        <w:rPr>
          <w:rFonts w:eastAsia="方正仿宋_GBK" w:cs="宋体" w:hint="eastAsia"/>
          <w:bCs/>
          <w:kern w:val="0"/>
          <w:sz w:val="32"/>
          <w:szCs w:val="32"/>
        </w:rPr>
        <w:t>未受理因政府信息公开申请提起的行政复议申请。全年亦未发生针对政府信息公开工作提起的行政诉讼。　　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spacing w:line="560" w:lineRule="exact"/>
        <w:ind w:firstLineChars="200" w:firstLine="640"/>
        <w:rPr>
          <w:rFonts w:eastAsia="方正仿宋_GBK" w:cs="宋体"/>
          <w:bCs/>
          <w:kern w:val="0"/>
          <w:sz w:val="32"/>
          <w:szCs w:val="32"/>
        </w:rPr>
      </w:pPr>
      <w:r>
        <w:rPr>
          <w:rFonts w:eastAsia="方正仿宋_GBK"/>
          <w:sz w:val="32"/>
          <w:szCs w:val="32"/>
          <w:bdr w:val="none" w:sz="0" w:space="0" w:color="auto"/>
          <w:shd w:val="clear" w:color="auto" w:fill="auto"/>
        </w:rPr>
        <w:t>存在的问题是，</w:t>
      </w:r>
      <w:r>
        <w:rPr>
          <w:rFonts w:eastAsia="方正仿宋_GBK" w:hint="eastAsia"/>
          <w:sz w:val="32"/>
          <w:szCs w:val="32"/>
          <w:bdr w:val="none" w:sz="0" w:space="0" w:color="auto"/>
          <w:shd w:val="clear" w:color="auto" w:fill="auto"/>
        </w:rPr>
        <w:t>信息公开工作人力资源不足，尚未设立专职的公开工作人员，</w:t>
      </w:r>
      <w:r>
        <w:rPr>
          <w:rFonts w:eastAsia="方正仿宋_GBK" w:cs="宋体" w:hint="eastAsia"/>
          <w:bCs/>
          <w:kern w:val="0"/>
          <w:sz w:val="32"/>
          <w:szCs w:val="32"/>
        </w:rPr>
        <w:t>信息公开规范化程度还有待提升、政府信息公开人员实践经验不足、业务知识跟不上等。</w:t>
      </w:r>
    </w:p>
    <w:p>
      <w:pPr>
        <w:spacing w:line="560" w:lineRule="exact"/>
        <w:ind w:firstLineChars="200" w:firstLine="640"/>
        <w:rPr>
          <w:rFonts w:eastAsia="方正仿宋_GBK" w:cs="宋体" w:hint="eastAsia"/>
          <w:bCs/>
          <w:kern w:val="0"/>
          <w:sz w:val="32"/>
          <w:szCs w:val="32"/>
        </w:rPr>
      </w:pPr>
      <w:r>
        <w:rPr>
          <w:rFonts w:eastAsia="方正仿宋_GBK" w:cs="宋体"/>
          <w:bCs/>
          <w:kern w:val="0"/>
          <w:sz w:val="32"/>
          <w:szCs w:val="32"/>
        </w:rPr>
        <w:t>改进措施主要有：</w:t>
      </w:r>
      <w:r>
        <w:rPr>
          <w:rFonts w:eastAsia="方正仿宋_GBK" w:cs="宋体" w:hint="eastAsia"/>
          <w:bCs/>
          <w:kern w:val="0"/>
          <w:sz w:val="32"/>
          <w:szCs w:val="32"/>
        </w:rPr>
        <w:t>一是进一步健全工作机制，强化组织领导。坚持主要领导负责、分管领导主抓，加强各科室之间协同，形成信息公开工作合力。二是加强队伍建设和人员培训，努力规范信息公开工作流程、及时更新，定期维护，确保公开信息的及时、完整和准确。</w:t>
      </w:r>
    </w:p>
    <w:sectPr>
      <w:footerReference w:type="default" r:id="rId2"/>
      <w:footerReference w:type="even" r:id="rId3"/>
      <w:pgSz w:w="11906" w:h="16838"/>
      <w:pgMar w:top="2098" w:right="1474" w:bottom="1871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0000000000000000000"/>
    <w:charset w:val="86"/>
    <w:family w:val="modern"/>
    <w:pitch w:val="variable"/>
    <w:sig w:usb0="00000000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script"/>
    <w:pitch w:val="variable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altName w:val="Arial Unicode MS"/>
    <w:panose1 w:val="00000000000000000000"/>
    <w:charset w:val="86"/>
    <w:family w:val="script"/>
    <w:pitch w:val="variable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panose1 w:val="00000000000000000000"/>
    <w:charset w:val="86"/>
    <w:family w:val="script"/>
    <w:pitch w:val="variable"/>
    <w:sig w:usb0="00000000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variable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4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75</TotalTime>
  <Application>Yozo_Office</Application>
  <Pages>6</Pages>
  <Words>2096</Words>
  <Characters>2148</Characters>
  <Lines>408</Lines>
  <Paragraphs>302</Paragraphs>
  <CharactersWithSpaces>2159</CharactersWithSpace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李亚莅</cp:lastModifiedBy>
  <cp:revision>5</cp:revision>
  <dcterms:created xsi:type="dcterms:W3CDTF">2019-12-23T04:03:00Z</dcterms:created>
  <dcterms:modified xsi:type="dcterms:W3CDTF">2020-02-24T09:13:48Z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