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80" w:lineRule="exact"/>
        <w:jc w:val="center"/>
        <w:rPr>
          <w:rFonts w:eastAsia="方正小标宋_GBK" w:cs="方正小标宋_GBK"/>
          <w:color w:val="auto"/>
          <w:sz w:val="44"/>
          <w:szCs w:val="44"/>
        </w:rPr>
      </w:pPr>
      <w:bookmarkStart w:id="0" w:name="_Hlk25540369"/>
      <w:r>
        <w:rPr>
          <w:rFonts w:eastAsia="方正小标宋_GBK" w:cs="方正小标宋_GBK"/>
          <w:color w:val="auto"/>
          <w:sz w:val="44"/>
          <w:szCs w:val="44"/>
        </w:rPr>
        <w:t>南宁海关机关2019年</w:t>
      </w:r>
      <w:r>
        <w:rPr>
          <w:rFonts w:eastAsia="方正小标宋_GBK" w:cs="方正小标宋_GBK" w:hint="eastAsia"/>
          <w:color w:val="auto"/>
          <w:sz w:val="44"/>
          <w:szCs w:val="44"/>
        </w:rPr>
        <w:t>政府信息公开工作</w:t>
      </w:r>
    </w:p>
    <w:p>
      <w:pPr>
        <w:spacing w:line="580" w:lineRule="exact"/>
        <w:jc w:val="center"/>
        <w:rPr>
          <w:rFonts w:eastAsia="方正仿宋_GBK" w:cs="方正仿宋_GBK"/>
          <w:color w:val="auto"/>
          <w:sz w:val="32"/>
          <w:szCs w:val="32"/>
        </w:rPr>
      </w:pPr>
      <w:r>
        <w:rPr>
          <w:rFonts w:eastAsia="方正小标宋_GBK" w:cs="方正小标宋_GBK" w:hint="eastAsia"/>
          <w:color w:val="auto"/>
          <w:sz w:val="44"/>
          <w:szCs w:val="44"/>
        </w:rPr>
        <w:t>年度报告</w:t>
      </w:r>
      <w:bookmarkEnd w:id="0"/>
    </w:p>
    <w:p>
      <w:pPr>
        <w:pStyle w:val="16"/>
        <w:widowControl/>
        <w:shd w:val="clear" w:color="auto" w:fill="FFFFFF"/>
        <w:adjustRightInd w:val="0"/>
        <w:snapToGrid w:val="0"/>
        <w:spacing w:beforeAutospacing="0" w:afterAutospacing="0" w:line="400" w:lineRule="exact"/>
        <w:ind w:firstLine="0"/>
        <w:jc w:val="both"/>
        <w:rPr>
          <w:rFonts w:eastAsia="楷体_GB2312" w:cs="楷体_GB2312" w:hint="eastAsia"/>
          <w:bCs/>
          <w:color w:val="auto"/>
          <w:sz w:val="32"/>
          <w:szCs w:val="32"/>
          <w:shd w:val="clear" w:color="auto" w:fill="FFFFFF"/>
        </w:rPr>
      </w:pP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如对本年报有疑问，请联系：南宁海关政务公开领导小组办公室。地址：广西壮族自治区南宁市青秀区中柬路1号南宁海关332室；邮编：530029；电话：0771-5368139；传真：0771-5368111；电子邮箱：nnhg_zwgk@customs.gov.cn。</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本年报根据《中华人民共和国政府信息公开条例》(以下简称《条例》)和《中华人民共和国海关政府信息公开办法》(以下简称《办法》)，</w:t>
      </w:r>
      <w:r>
        <w:rPr>
          <w:rFonts w:eastAsia="方正仿宋_GBK" w:cs="楷体_GB2312"/>
          <w:color w:val="auto"/>
          <w:sz w:val="32"/>
          <w:szCs w:val="32"/>
          <w:shd w:val="clear" w:color="auto" w:fill="FFFFFF"/>
        </w:rPr>
        <w:t>综合</w:t>
      </w:r>
      <w:r>
        <w:rPr>
          <w:rFonts w:eastAsia="方正仿宋_GBK" w:cs="楷体_GB2312" w:hint="eastAsia"/>
          <w:color w:val="auto"/>
          <w:sz w:val="32"/>
          <w:szCs w:val="32"/>
          <w:shd w:val="clear" w:color="auto" w:fill="FFFFFF"/>
        </w:rPr>
        <w:t>2019年机关各部门政府信息公开工作情况编制。本年报中所列数据的统计期限自2019年1月1日起至2019年12月31日。</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本年报主要内容包括：总体情况，主动公开政府信息情况，收到和处理政府信息公开申请情况，政府信息公开行政复议、行政诉讼情况，存在的主要问题和改进情况。</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本年报电子版可在“南宁海关门户网站”获取，网址：nanning.customs.gov.cn。</w:t>
      </w:r>
    </w:p>
    <w:p>
      <w:pPr>
        <w:pStyle w:val="16"/>
        <w:widowControl/>
        <w:shd w:val="clear" w:color="auto" w:fill="FFFFFF"/>
        <w:adjustRightInd w:val="0"/>
        <w:snapToGrid w:val="0"/>
        <w:spacing w:beforeAutospacing="0" w:afterAutospacing="0" w:line="560" w:lineRule="exact"/>
        <w:ind w:firstLineChars="200" w:firstLine="640"/>
        <w:jc w:val="both"/>
        <w:rPr>
          <w:rFonts w:eastAsia="方正黑体_GBK" w:cs="楷体_GB2312" w:hint="eastAsia"/>
          <w:color w:val="auto"/>
          <w:sz w:val="32"/>
          <w:szCs w:val="32"/>
          <w:shd w:val="clear" w:color="auto" w:fill="FFFFFF"/>
        </w:rPr>
      </w:pPr>
      <w:r>
        <w:rPr>
          <w:rFonts w:eastAsia="方正黑体_GBK" w:cs="楷体_GB2312" w:hint="eastAsia"/>
          <w:color w:val="auto"/>
          <w:sz w:val="32"/>
          <w:szCs w:val="32"/>
          <w:shd w:val="clear" w:color="auto" w:fill="FFFFFF"/>
        </w:rPr>
        <w:t>一、总体情况</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b/>
          <w:bCs/>
          <w:color w:val="auto"/>
          <w:sz w:val="32"/>
          <w:szCs w:val="32"/>
          <w:shd w:val="clear" w:color="auto" w:fill="FFFFFF"/>
        </w:rPr>
      </w:pPr>
      <w:r>
        <w:rPr>
          <w:rFonts w:eastAsia="方正仿宋_GBK" w:cs="楷体_GB2312" w:hint="eastAsia"/>
          <w:b/>
          <w:bCs/>
          <w:color w:val="auto"/>
          <w:sz w:val="32"/>
          <w:szCs w:val="32"/>
          <w:shd w:val="clear" w:color="auto" w:fill="FFFFFF"/>
        </w:rPr>
        <w:t>（一）主动公开方面。</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2019年，我关通过各类政务公开渠道主动公开政府信息3511条，其中，通过门户网站公开1373条，通过微博公开1624条，通过微信公众平台公开514条。内容包括规范性文件、机构概况、总结计划、统计信息、行政执法信息、财政信息、集中采购、人事信息等。</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b/>
          <w:bCs/>
          <w:color w:val="auto"/>
          <w:sz w:val="32"/>
          <w:szCs w:val="32"/>
          <w:shd w:val="clear" w:color="auto" w:fill="FFFFFF"/>
        </w:rPr>
      </w:pPr>
      <w:r>
        <w:rPr>
          <w:rFonts w:eastAsia="方正仿宋_GBK" w:cs="楷体_GB2312" w:hint="eastAsia"/>
          <w:b/>
          <w:bCs/>
          <w:color w:val="auto"/>
          <w:sz w:val="32"/>
          <w:szCs w:val="32"/>
          <w:shd w:val="clear" w:color="auto" w:fill="FFFFFF"/>
        </w:rPr>
        <w:t>（二）依申请公开方面。</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2019年，总关机关共办理依申请公开15件，其中个人申请12件，社会公益组织3件，引起行政复议1件，均按规以书面形式或电子邮件作出答复。</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b/>
          <w:bCs/>
          <w:color w:val="auto"/>
          <w:sz w:val="32"/>
          <w:szCs w:val="32"/>
          <w:shd w:val="clear" w:color="auto" w:fill="FFFFFF"/>
        </w:rPr>
      </w:pPr>
      <w:r>
        <w:rPr>
          <w:rFonts w:eastAsia="方正仿宋_GBK" w:cs="楷体_GB2312" w:hint="eastAsia"/>
          <w:b/>
          <w:bCs/>
          <w:color w:val="auto"/>
          <w:sz w:val="32"/>
          <w:szCs w:val="32"/>
          <w:shd w:val="clear" w:color="auto" w:fill="FFFFFF"/>
        </w:rPr>
        <w:t>（三）政府信息管理方面。</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根据海关总署《2019年海关政务公开工作要点》，制定《2019年南宁海关政务公开工作要点》，进一步细化工作方案明确工作责任，严格执行政府信息发布前的审核机制。更新《南宁海关政府信息公开公开指南》、《南宁海关依申请公开基本信息和接收渠道》，</w:t>
      </w:r>
      <w:r>
        <w:rPr>
          <w:rFonts w:eastAsia="方正仿宋_GBK" w:cs="楷体_GB2312"/>
          <w:color w:val="auto"/>
          <w:sz w:val="32"/>
          <w:szCs w:val="32"/>
          <w:shd w:val="clear" w:color="auto" w:fill="FFFFFF"/>
        </w:rPr>
        <w:t>建立</w:t>
      </w:r>
      <w:r>
        <w:rPr>
          <w:rFonts w:eastAsia="方正仿宋_GBK" w:cs="楷体_GB2312" w:hint="eastAsia"/>
          <w:color w:val="auto"/>
          <w:sz w:val="32"/>
          <w:szCs w:val="32"/>
          <w:shd w:val="clear" w:color="auto" w:fill="FFFFFF"/>
        </w:rPr>
        <w:t>不公开信息需审核机制。在全关区范围内开展《条例》宣贯工作，定期组织培训，要求关员准确理解相关规定，切实增强公开意识和责任。</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b/>
          <w:bCs/>
          <w:color w:val="auto"/>
          <w:sz w:val="32"/>
          <w:szCs w:val="32"/>
          <w:shd w:val="clear" w:color="auto" w:fill="FFFFFF"/>
        </w:rPr>
      </w:pPr>
      <w:r>
        <w:rPr>
          <w:rFonts w:eastAsia="方正仿宋_GBK" w:cs="楷体_GB2312" w:hint="eastAsia"/>
          <w:b/>
          <w:bCs/>
          <w:color w:val="auto"/>
          <w:sz w:val="32"/>
          <w:szCs w:val="32"/>
          <w:shd w:val="clear" w:color="auto" w:fill="FFFFFF"/>
        </w:rPr>
        <w:t>（四）平台建设方面。</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根据《政府网站与政务新媒体检查指标》和《政府网站与政务新媒体监管工作年度考核指标》对网站内容资源梳理，落实各单位内容保障责任；丰富网站信息下载渠道，在网站发布的海关法规及办事文件同步提供文件下载链接，包括PDF版及Word版等，并纳入网站全文检索范围。按照《国务院办公厅关于印发政府网站发展指引的通知》（国办发〔2017〕47号）中关于网页设计规范的要求，对网页标签着重进行优化，做到“应有尽有”。</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b/>
          <w:bCs/>
          <w:color w:val="auto"/>
          <w:sz w:val="32"/>
          <w:szCs w:val="32"/>
          <w:shd w:val="clear" w:color="auto" w:fill="FFFFFF"/>
        </w:rPr>
      </w:pPr>
      <w:r>
        <w:rPr>
          <w:rFonts w:eastAsia="方正仿宋_GBK" w:cs="楷体_GB2312" w:hint="eastAsia"/>
          <w:b/>
          <w:bCs/>
          <w:color w:val="auto"/>
          <w:sz w:val="32"/>
          <w:szCs w:val="32"/>
          <w:shd w:val="clear" w:color="auto" w:fill="FFFFFF"/>
        </w:rPr>
        <w:t>（五）监督保障方面。</w:t>
      </w:r>
    </w:p>
    <w:p>
      <w:pPr>
        <w:pStyle w:val="16"/>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建立机关政务公开工作检查、督促和通报机制，针对日常检查发现问题、公众投诉举报以及涉复议、涉诉等情况，定期对机关各部门政务公开工作情况进行通报。</w:t>
      </w:r>
    </w:p>
    <w:p>
      <w:pPr>
        <w:pStyle w:val="16"/>
        <w:widowControl/>
        <w:shd w:val="clear" w:color="auto" w:fill="FFFFFF"/>
        <w:adjustRightInd w:val="0"/>
        <w:snapToGrid w:val="0"/>
        <w:spacing w:beforeAutospacing="0" w:after="0" w:afterAutospacing="0" w:line="400" w:lineRule="exact"/>
        <w:ind w:firstLine="0"/>
        <w:jc w:val="both"/>
        <w:rPr>
          <w:rFonts w:eastAsia="方正黑体_GBK" w:cs="楷体_GB2312"/>
          <w:bCs/>
          <w:color w:val="auto"/>
          <w:sz w:val="32"/>
          <w:szCs w:val="32"/>
          <w:shd w:val="clear" w:color="auto" w:fill="FFFFFF"/>
        </w:rPr>
      </w:pPr>
      <w:r>
        <w:rPr>
          <w:rFonts w:eastAsia="方正黑体_GBK" w:cs="楷体_GB2312" w:hint="eastAsia"/>
          <w:bCs/>
          <w:color w:val="auto"/>
          <w:sz w:val="32"/>
          <w:szCs w:val="32"/>
          <w:shd w:val="clear" w:color="auto" w:fill="FFFFFF"/>
        </w:rPr>
        <w:t xml:space="preserve">    二、主动公开政府信息情况</w:t>
      </w:r>
    </w:p>
    <w:tbl>
      <w:tblPr>
        <w:jc w:val="center"/>
        <w:tblW w:w="10293"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113"/>
        <w:gridCol w:w="2183"/>
        <w:gridCol w:w="1551"/>
        <w:gridCol w:w="3446"/>
      </w:tblGrid>
      <w:tr>
        <w:trPr>
          <w:trHeight w:val="495"/>
        </w:trPr>
        <w:tc>
          <w:tcPr>
            <w:tcW w:w="10293"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第二十条第（一）项</w:t>
            </w:r>
          </w:p>
        </w:tc>
      </w:tr>
      <w:tr>
        <w:trPr>
          <w:trHeight w:val="88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本年新</w:t>
              <w:br/>
            </w:r>
            <w:r>
              <w:rPr>
                <w:color w:val="auto"/>
                <w:kern w:val="0"/>
                <w:sz w:val="24"/>
                <w:szCs w:val="24"/>
              </w:rPr>
              <w:t>制作数量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本年新</w:t>
              <w:br/>
            </w:r>
            <w:r>
              <w:rPr>
                <w:color w:val="auto"/>
                <w:kern w:val="0"/>
                <w:sz w:val="24"/>
                <w:szCs w:val="24"/>
              </w:rPr>
              <w:t>公开数量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对外公开总数量</w:t>
            </w:r>
          </w:p>
        </w:tc>
      </w:tr>
      <w:tr>
        <w:trPr>
          <w:trHeight w:val="27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r>
      <w:tr>
        <w:trPr>
          <w:trHeight w:val="471"/>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6</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6</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6</w:t>
            </w:r>
          </w:p>
        </w:tc>
      </w:tr>
      <w:tr>
        <w:trPr>
          <w:trHeight w:val="480"/>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第二十条第（五）项</w:t>
            </w:r>
          </w:p>
        </w:tc>
      </w:tr>
      <w:tr>
        <w:trPr>
          <w:trHeight w:val="435"/>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上一年项目数量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本年减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处理决定数量</w:t>
            </w:r>
          </w:p>
        </w:tc>
      </w:tr>
      <w:tr>
        <w:trPr>
          <w:trHeight w:val="40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行政许可</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14</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2</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1959</w:t>
            </w:r>
          </w:p>
        </w:tc>
      </w:tr>
      <w:tr>
        <w:trPr>
          <w:trHeight w:val="635"/>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其他对外管理服务事项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1</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60</w:t>
            </w:r>
          </w:p>
        </w:tc>
      </w:tr>
      <w:tr>
        <w:trPr>
          <w:trHeight w:val="406"/>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第二十条第（六）项</w:t>
            </w:r>
          </w:p>
        </w:tc>
      </w:tr>
      <w:tr>
        <w:trPr>
          <w:trHeight w:val="446"/>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上一年项目数量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本年增/减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处理决定数量</w:t>
            </w:r>
          </w:p>
        </w:tc>
      </w:tr>
      <w:tr>
        <w:trPr>
          <w:trHeight w:val="43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行政处罚</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7</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41</w:t>
            </w:r>
          </w:p>
        </w:tc>
      </w:tr>
      <w:tr>
        <w:trPr>
          <w:trHeight w:val="40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行政强制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6</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19</w:t>
            </w:r>
          </w:p>
        </w:tc>
      </w:tr>
      <w:tr>
        <w:trPr>
          <w:trHeight w:val="474"/>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第二十条第（八）项</w:t>
            </w:r>
          </w:p>
        </w:tc>
      </w:tr>
      <w:tr>
        <w:trPr>
          <w:trHeight w:val="27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上一年项目数量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本年增/减</w:t>
            </w:r>
          </w:p>
        </w:tc>
      </w:tr>
      <w:tr>
        <w:trPr>
          <w:trHeight w:val="347"/>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行政事业性收费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　</w:t>
            </w:r>
            <w:r>
              <w:rPr>
                <w:rFonts w:cs="宋体"/>
                <w:color w:val="auto"/>
                <w:kern w:val="0"/>
                <w:sz w:val="24"/>
                <w:szCs w:val="24"/>
              </w:rPr>
              <w:t>0</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color w:val="auto"/>
                <w:kern w:val="0"/>
                <w:sz w:val="24"/>
                <w:szCs w:val="24"/>
              </w:rPr>
              <w:t>0</w:t>
            </w:r>
          </w:p>
        </w:tc>
      </w:tr>
      <w:tr>
        <w:trPr>
          <w:trHeight w:val="476"/>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第二十条第（九）项</w:t>
            </w:r>
          </w:p>
        </w:tc>
      </w:tr>
      <w:tr>
        <w:trPr>
          <w:trHeight w:val="41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采购项目数量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260" w:lineRule="exact"/>
              <w:jc w:val="center"/>
              <w:rPr>
                <w:color w:val="auto"/>
                <w:sz w:val="24"/>
                <w:szCs w:val="24"/>
              </w:rPr>
            </w:pPr>
            <w:r>
              <w:rPr>
                <w:rFonts w:cs="宋体" w:hint="eastAsia"/>
                <w:color w:val="auto"/>
                <w:kern w:val="0"/>
                <w:sz w:val="24"/>
                <w:szCs w:val="24"/>
              </w:rPr>
              <w:t>采购总金额</w:t>
            </w:r>
          </w:p>
        </w:tc>
      </w:tr>
      <w:tr>
        <w:trPr>
          <w:trHeight w:val="53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color w:val="auto"/>
                <w:sz w:val="24"/>
                <w:szCs w:val="24"/>
              </w:rPr>
            </w:pPr>
            <w:r>
              <w:rPr>
                <w:rFonts w:cs="宋体" w:hint="eastAsia"/>
                <w:color w:val="auto"/>
                <w:kern w:val="0"/>
                <w:sz w:val="24"/>
                <w:szCs w:val="24"/>
              </w:rPr>
              <w:t>政府集中采购</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
              <w:widowControl/>
              <w:adjustRightInd w:val="0"/>
              <w:snapToGrid w:val="0"/>
              <w:spacing w:after="180" w:line="260" w:lineRule="exact"/>
              <w:jc w:val="left"/>
              <w:rPr>
                <w:sz w:val="24"/>
                <w:szCs w:val="24"/>
              </w:rPr>
            </w:pPr>
            <w:r>
              <w:rPr>
                <w:rFonts w:cs="宋体" w:hint="eastAsia"/>
                <w:kern w:val="0"/>
                <w:sz w:val="24"/>
                <w:szCs w:val="24"/>
              </w:rPr>
              <w:t>　47</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pStyle w:val="18"/>
              <w:adjustRightInd w:val="0"/>
              <w:snapToGrid w:val="0"/>
              <w:spacing w:line="260" w:lineRule="exact"/>
              <w:rPr>
                <w:sz w:val="24"/>
                <w:szCs w:val="24"/>
              </w:rPr>
            </w:pPr>
            <w:r>
              <w:rPr>
                <w:rFonts w:hint="eastAsia"/>
                <w:sz w:val="24"/>
                <w:szCs w:val="24"/>
              </w:rPr>
              <w:t>14139.46万元</w:t>
            </w:r>
          </w:p>
        </w:tc>
      </w:tr>
    </w:tbl>
    <w:p>
      <w:pPr>
        <w:pStyle w:val="16"/>
        <w:widowControl/>
        <w:shd w:val="clear" w:color="auto" w:fill="FFFFFF"/>
        <w:spacing w:beforeAutospacing="0" w:after="240" w:afterAutospacing="0"/>
        <w:ind w:firstLineChars="200" w:firstLine="640"/>
        <w:jc w:val="both"/>
        <w:rPr>
          <w:rFonts w:eastAsia="方正黑体_GBK" w:cs="楷体_GB2312"/>
          <w:bCs/>
          <w:color w:val="auto"/>
          <w:sz w:val="32"/>
          <w:szCs w:val="32"/>
          <w:shd w:val="clear" w:color="auto" w:fill="FFFFFF"/>
        </w:rPr>
      </w:pPr>
      <w:r>
        <w:rPr>
          <w:rFonts w:eastAsia="方正黑体_GBK" w:cs="楷体_GB2312" w:hint="eastAsia"/>
          <w:bCs/>
          <w:color w:val="auto"/>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申请人情况</w:t>
            </w:r>
          </w:p>
        </w:tc>
      </w:tr>
      <w:t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总计</w:t>
            </w:r>
          </w:p>
        </w:tc>
      </w:tr>
      <w:t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rPr>
            </w:pPr>
            <w:r>
              <w:rPr>
                <w:rFonts w:cs="宋体" w:hint="eastAsia"/>
                <w:color w:val="auto"/>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宋体" w:hint="eastAsia"/>
                <w:color w:val="auto"/>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 12</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2</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 14</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宋体" w:hint="eastAsia"/>
                <w:color w:val="auto"/>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ind w:firstLineChars="50" w:firstLine="120"/>
              <w:jc w:val="left"/>
              <w:rPr>
                <w:rFonts w:cs="Calibri"/>
                <w:kern w:val="0"/>
                <w:sz w:val="24"/>
                <w:szCs w:val="24"/>
              </w:rPr>
            </w:pPr>
            <w:r>
              <w:rPr>
                <w:rFonts w:cs="Calibri"/>
                <w:kern w:val="0"/>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rFonts w:cs="Calibri"/>
                <w:kern w:val="0"/>
                <w:sz w:val="24"/>
                <w:szCs w:val="24"/>
              </w:rPr>
            </w:pPr>
            <w:r>
              <w:rPr>
                <w:rFonts w:cs="Calibri"/>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ind w:firstLineChars="50" w:firstLine="120"/>
              <w:jc w:val="left"/>
              <w:rPr>
                <w:rFonts w:cs="Calibri"/>
                <w:kern w:val="0"/>
                <w:sz w:val="24"/>
                <w:szCs w:val="24"/>
              </w:rPr>
            </w:pPr>
            <w:r>
              <w:rPr>
                <w:rFonts w:cs="Calibri"/>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  1</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left"/>
              <w:rPr>
                <w:color w:val="auto"/>
                <w:sz w:val="24"/>
                <w:szCs w:val="24"/>
              </w:rPr>
            </w:pPr>
            <w:r>
              <w:rPr>
                <w:rFonts w:cs="Calibri"/>
                <w:color w:val="auto"/>
                <w:kern w:val="0"/>
                <w:sz w:val="24"/>
                <w:szCs w:val="24"/>
              </w:rPr>
              <w:t>  1</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color w:val="auto"/>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7</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3</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10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3</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1 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（六）其他处理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sz w:val="24"/>
                <w:szCs w:val="24"/>
              </w:rPr>
            </w:pPr>
            <w:r>
              <w:rPr>
                <w:rFonts w:eastAsia="楷体" w:cs="楷体" w:hint="eastAsia"/>
                <w:color w:val="auto"/>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12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3</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15</w:t>
            </w:r>
            <w:bookmarkStart w:id="1" w:name="_GoBack"/>
            <w:bookmarkEnd w:id="1"/>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left"/>
              <w:rPr>
                <w:color w:val="auto"/>
              </w:rPr>
            </w:pPr>
            <w:r>
              <w:rPr>
                <w:rFonts w:cs="宋体" w:hint="eastAsia"/>
                <w:color w:val="auto"/>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r>
    </w:tbl>
    <w:p>
      <w:pPr>
        <w:pStyle w:val="16"/>
        <w:widowControl/>
        <w:shd w:val="clear" w:color="auto" w:fill="FFFFFF"/>
        <w:spacing w:beforeAutospacing="0" w:after="240" w:afterAutospacing="0"/>
        <w:ind w:firstLineChars="200" w:firstLine="640"/>
        <w:jc w:val="both"/>
        <w:rPr>
          <w:rFonts w:cs="宋体"/>
          <w:color w:val="auto"/>
          <w:szCs w:val="24"/>
        </w:rPr>
      </w:pPr>
      <w:r>
        <w:rPr>
          <w:rFonts w:eastAsia="方正黑体_GBK" w:cs="楷体_GB2312" w:hint="eastAsia"/>
          <w:bCs/>
          <w:color w:val="auto"/>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总计</w:t>
            </w:r>
          </w:p>
        </w:tc>
      </w:tr>
      <w:t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1</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 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0 </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Calibri"/>
                <w:color w:val="auto"/>
                <w:kern w:val="0"/>
                <w:sz w:val="24"/>
                <w:szCs w:val="24"/>
              </w:rPr>
              <w:t>1 </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color w:val="auto"/>
                <w:kern w:val="0"/>
                <w:sz w:val="24"/>
                <w:szCs w:val="24"/>
              </w:rPr>
              <w:t>0</w:t>
            </w:r>
            <w:r>
              <w:rPr>
                <w:rFonts w:cs="宋体" w:hint="eastAsia"/>
                <w:color w:val="auto"/>
                <w:kern w:val="0"/>
                <w:sz w:val="24"/>
                <w:szCs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hint="eastAsia"/>
                <w:color w:val="auto"/>
                <w:kern w:val="0"/>
                <w:sz w:val="24"/>
                <w:szCs w:val="24"/>
              </w:rPr>
              <w:t> </w:t>
            </w:r>
            <w:r>
              <w:rPr>
                <w:rFonts w:cs="宋体"/>
                <w:color w:val="auto"/>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color w:val="auto"/>
                <w:kern w:val="0"/>
                <w:sz w:val="24"/>
                <w:szCs w:val="24"/>
              </w:rPr>
              <w:t>0</w:t>
            </w:r>
            <w:r>
              <w:rPr>
                <w:rFonts w:cs="宋体" w:hint="eastAsia"/>
                <w:color w:val="auto"/>
                <w:kern w:val="0"/>
                <w:sz w:val="24"/>
                <w:szCs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color w:val="auto"/>
                <w:kern w:val="0"/>
                <w:sz w:val="24"/>
                <w:szCs w:val="24"/>
              </w:rPr>
              <w:t>0</w:t>
            </w:r>
            <w:r>
              <w:rPr>
                <w:rFonts w:cs="宋体" w:hint="eastAsia"/>
                <w:color w:val="auto"/>
                <w:kern w:val="0"/>
                <w:sz w:val="24"/>
                <w:szCs w:val="24"/>
              </w:rPr>
              <w:t> </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color w:val="auto"/>
                <w:sz w:val="24"/>
                <w:szCs w:val="24"/>
              </w:rPr>
            </w:pPr>
            <w:r>
              <w:rPr>
                <w:rFonts w:cs="宋体"/>
                <w:color w:val="auto"/>
                <w:kern w:val="0"/>
                <w:sz w:val="24"/>
                <w:szCs w:val="24"/>
              </w:rPr>
              <w:t>0</w:t>
            </w:r>
            <w:r>
              <w:rPr>
                <w:rFonts w:cs="宋体" w:hint="eastAsia"/>
                <w:color w:val="auto"/>
                <w:kern w:val="0"/>
                <w:sz w:val="24"/>
                <w:szCs w:val="24"/>
              </w:rPr>
              <w:t> </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rPr>
                <w:color w:val="auto"/>
                <w:sz w:val="24"/>
                <w:szCs w:val="24"/>
              </w:rPr>
            </w:pPr>
            <w:r>
              <w:rPr>
                <w:color w:val="auto"/>
                <w:sz w:val="24"/>
                <w:szCs w:val="24"/>
              </w:rPr>
              <w:t>0</w:t>
            </w:r>
          </w:p>
        </w:tc>
      </w:tr>
    </w:tbl>
    <w:p>
      <w:pPr>
        <w:pStyle w:val="16"/>
        <w:widowControl/>
        <w:shd w:val="clear" w:color="auto" w:fill="FFFFFF"/>
        <w:spacing w:beforeAutospacing="0" w:after="240" w:afterAutospacing="0" w:line="560" w:lineRule="exact"/>
        <w:ind w:firstLineChars="200" w:firstLine="640"/>
        <w:jc w:val="both"/>
        <w:rPr>
          <w:rFonts w:eastAsia="方正黑体_GBK" w:cs="楷体_GB2312"/>
          <w:bCs/>
          <w:color w:val="auto"/>
          <w:sz w:val="32"/>
          <w:szCs w:val="32"/>
          <w:shd w:val="clear" w:color="auto" w:fill="FFFFFF"/>
        </w:rPr>
      </w:pPr>
      <w:r>
        <w:rPr>
          <w:rFonts w:eastAsia="方正黑体_GBK" w:cs="楷体_GB2312" w:hint="eastAsia"/>
          <w:bCs/>
          <w:color w:val="auto"/>
          <w:sz w:val="32"/>
          <w:szCs w:val="32"/>
          <w:shd w:val="clear" w:color="auto" w:fill="FFFFFF"/>
        </w:rPr>
        <w:t>五、存在的主要问题及改进情况</w:t>
      </w:r>
    </w:p>
    <w:p>
      <w:pPr>
        <w:pStyle w:val="20"/>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2019年，我关机关重点从规范信息公开审核机制和加强联络员队伍建设方面开展工作，取得了良好的社会效果。但是还存在着依申请公开责任意识不强、门户网站稳定性有待提高、互动交流能力不足等问题</w:t>
      </w:r>
      <w:r>
        <w:rPr>
          <w:rFonts w:eastAsia="方正仿宋_GBK" w:cs="楷体_GB2312"/>
          <w:color w:val="auto"/>
          <w:sz w:val="32"/>
          <w:szCs w:val="32"/>
          <w:shd w:val="clear" w:color="auto" w:fill="FFFFFF"/>
        </w:rPr>
        <w:t>。</w:t>
      </w:r>
      <w:r>
        <w:rPr>
          <w:rFonts w:eastAsia="方正仿宋_GBK" w:cs="楷体_GB2312" w:hint="eastAsia"/>
          <w:color w:val="auto"/>
          <w:sz w:val="32"/>
          <w:szCs w:val="32"/>
          <w:shd w:val="clear" w:color="auto" w:fill="FFFFFF"/>
        </w:rPr>
        <w:t>2020年，我关机关将在以下几方面继续加强政府信息公开工作：</w:t>
      </w:r>
    </w:p>
    <w:p>
      <w:pPr>
        <w:pStyle w:val="20"/>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一是认真落实海关总署政府信息公开工作要求，进一步健全信息公开机制，强化信息公开指导，切实提升政府信息公开的效果和水平，特别是在依申请公开办理过程中坚持“应公开、尽公开”的原则，不断扩大主动公开信息范围，充分发挥海关政府信息对社会公众的服务作用。</w:t>
      </w:r>
    </w:p>
    <w:p>
      <w:pPr>
        <w:pStyle w:val="20"/>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color w:val="auto"/>
          <w:sz w:val="32"/>
          <w:szCs w:val="32"/>
          <w:shd w:val="clear" w:color="auto" w:fill="FFFFFF"/>
        </w:rPr>
      </w:pPr>
      <w:r>
        <w:rPr>
          <w:rFonts w:eastAsia="方正仿宋_GBK" w:cs="楷体_GB2312" w:hint="eastAsia"/>
          <w:color w:val="auto"/>
          <w:sz w:val="32"/>
          <w:szCs w:val="32"/>
          <w:shd w:val="clear" w:color="auto" w:fill="FFFFFF"/>
        </w:rPr>
        <w:t>二是推进门户网站功能升级，在全面性、实用性、便民性、美观性上精准发力，探索第三方平台运维保障机制，定期评估网站发展质量，切实发挥门户网站是政务公开第一平台的作用。</w:t>
      </w:r>
    </w:p>
    <w:p>
      <w:pPr>
        <w:pStyle w:val="20"/>
        <w:widowControl/>
        <w:shd w:val="clear" w:color="auto" w:fill="FFFFFF"/>
        <w:adjustRightInd w:val="0"/>
        <w:snapToGrid w:val="0"/>
        <w:spacing w:beforeAutospacing="0" w:afterAutospacing="0" w:line="560" w:lineRule="exact"/>
        <w:ind w:firstLineChars="200" w:firstLine="640"/>
        <w:jc w:val="both"/>
        <w:rPr>
          <w:rFonts w:eastAsia="方正仿宋_GBK" w:cs="楷体_GB2312" w:hint="eastAsia"/>
          <w:sz w:val="32"/>
          <w:szCs w:val="32"/>
        </w:rPr>
      </w:pPr>
      <w:r>
        <w:rPr>
          <w:rFonts w:eastAsia="方正仿宋_GBK" w:cs="楷体_GB2312" w:hint="eastAsia"/>
          <w:color w:val="auto"/>
          <w:sz w:val="32"/>
          <w:szCs w:val="32"/>
          <w:shd w:val="clear" w:color="auto" w:fill="FFFFFF"/>
        </w:rPr>
        <w:t>三是组织开展政策解读、在线访谈等活动，多形式多渠道开展与社会大众的互动交流，从企业、群众的不同视角换位思考，坚持以“</w:t>
      </w:r>
      <w:r>
        <w:rPr>
          <w:rFonts w:eastAsia="方正仿宋_GBK" w:cs="楷体_GB2312"/>
          <w:color w:val="auto"/>
          <w:sz w:val="32"/>
          <w:szCs w:val="32"/>
          <w:shd w:val="clear" w:color="auto" w:fill="FFFFFF"/>
        </w:rPr>
        <w:t>积极</w:t>
      </w:r>
      <w:r>
        <w:rPr>
          <w:rFonts w:eastAsia="方正仿宋_GBK" w:cs="楷体_GB2312" w:hint="eastAsia"/>
          <w:color w:val="auto"/>
          <w:sz w:val="32"/>
          <w:szCs w:val="32"/>
          <w:shd w:val="clear" w:color="auto" w:fill="FFFFFF"/>
        </w:rPr>
        <w:t>回应企业关切”和“加强政策宣传解读”为重点，加强政策提醒、解读指引，让政策红利“看得见”，让广大进出口企业和群众理解改革、拥护改革、支持改革，从而最大化地释放改革红利。</w:t>
      </w:r>
    </w:p>
    <w:sectPr>
      <w:footerReference w:type="default" r:id="rId2"/>
      <w:footerReference w:type="even" r:id="rId3"/>
      <w:pgSz w:w="11906" w:h="16838"/>
      <w:pgMar w:top="2098" w:right="1474" w:bottom="1871" w:left="1588" w:header="851" w:footer="992" w:gutter="0"/>
      <w:titlePg/>
      <w:docGrid w:type="lines" w:linePitch="408"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2010609030101010101"/>
    <w:charset w:val="86"/>
    <w:family w:val="modern"/>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楷体_GB2312">
    <w:altName w:val="楷体"/>
    <w:panose1 w:val="02010609030101010101"/>
    <w:charset w:val="86"/>
    <w:family w:val="modern"/>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right"/>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3</w:t>
    </w:r>
    <w:r>
      <w:rPr>
        <w:rFonts w:ascii="仿宋_GB2312" w:eastAsia="仿宋_GB2312" w:hint="eastAsia"/>
        <w:sz w:val="30"/>
        <w:szCs w:val="30"/>
      </w:rPr>
      <w:fldChar w:fldCharType="end"/>
    </w:r>
    <w:r>
      <w:rPr>
        <w:rFonts w:ascii="仿宋_GB2312" w:eastAsia="仿宋_GB2312" w:hint="eastAsia"/>
        <w:sz w:val="30"/>
        <w:szCs w:val="30"/>
      </w:rPr>
      <w:t>—</w:t>
    </w:r>
  </w:p>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left"/>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2</w:t>
    </w:r>
    <w:r>
      <w:rPr>
        <w:rFonts w:ascii="仿宋_GB2312" w:eastAsia="仿宋_GB2312" w:hint="eastAsia"/>
        <w:sz w:val="30"/>
        <w:szCs w:val="30"/>
      </w:rPr>
      <w:fldChar w:fldCharType="end"/>
    </w:r>
    <w:r>
      <w:rPr>
        <w:rFonts w:ascii="仿宋_GB2312" w:eastAsia="仿宋_GB2312" w:hint="eastAsia"/>
        <w:sz w:val="30"/>
        <w:szCs w:val="30"/>
      </w:rPr>
      <w:t>—</w:t>
    </w:r>
  </w:p>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5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0"/>
      <w:szCs w:val="30"/>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Normal (Web)"/>
    <w:basedOn w:val="0"/>
    <w:pPr>
      <w:spacing w:beforeAutospacing="1" w:afterAutospacing="1"/>
      <w:jc w:val="left"/>
    </w:pPr>
    <w:rPr>
      <w:kern w:val="0"/>
      <w:sz w:val="24"/>
    </w:rPr>
  </w:style>
  <w:style w:type="paragraph" w:customStyle="1" w:styleId="17">
    <w:name w:val="样式 小三"/>
    <w:pPr>
      <w:widowControl w:val="0"/>
      <w:jc w:val="both"/>
    </w:pPr>
    <w:rPr>
      <w:rFonts w:ascii="Times New Roman" w:eastAsia="宋体" w:cs="Times New Roman" w:hAnsi="Times New Roman"/>
      <w:kern w:val="2"/>
      <w:sz w:val="30"/>
      <w:szCs w:val="30"/>
      <w:lang w:val="en-US" w:eastAsia="zh-CN" w:bidi="ar-SA"/>
    </w:rPr>
  </w:style>
  <w:style w:type="paragraph" w:customStyle="1" w:styleId="18">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19">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20">
    <w:name w:val="样式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3405</TotalTime>
  <Application>Yozo_Office</Application>
  <Pages>6</Pages>
  <Words>2334</Words>
  <Characters>2497</Characters>
  <Lines>424</Lines>
  <Paragraphs>310</Paragraphs>
  <CharactersWithSpaces>2699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ldd</dc:creator>
  <cp:lastModifiedBy>李亚莅</cp:lastModifiedBy>
  <cp:revision>0</cp:revision>
  <dcterms:created xsi:type="dcterms:W3CDTF">2019-11-29T07:41:00Z</dcterms:created>
  <dcterms:modified xsi:type="dcterms:W3CDTF">2020-02-25T01:10:23Z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2052-10.8.2.6990</vt:lpwstr>
  </property>
</Properties>
</file>