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80" w:lineRule="exact"/>
        <w:jc w:val="center"/>
        <w:rPr>
          <w:rFonts w:ascii="方正仿宋_GBK" w:eastAsia="方正仿宋_GBK" w:cs="方正仿宋_GBK"/>
          <w:sz w:val="32"/>
          <w:szCs w:val="32"/>
        </w:rPr>
      </w:pPr>
      <w:bookmarkStart w:id="0" w:name="_Hlk25540369"/>
      <w:r>
        <w:rPr>
          <w:rFonts w:ascii="方正小标宋_GBK" w:eastAsia="方正小标宋_GBK" w:cs="方正小标宋_GBK"/>
          <w:sz w:val="44"/>
          <w:szCs w:val="44"/>
        </w:rPr>
        <w:t>邕州</w:t>
      </w:r>
      <w:r>
        <w:rPr>
          <w:rFonts w:ascii="方正小标宋_GBK" w:eastAsia="方正小标宋_GBK" w:cs="方正小标宋_GBK" w:hint="eastAsia"/>
          <w:sz w:val="44"/>
          <w:szCs w:val="44"/>
        </w:rPr>
        <w:t>海关政府信息公开工作年度报告</w:t>
      </w:r>
      <w:bookmarkEnd w:id="0"/>
    </w:p>
    <w:p>
      <w:pPr>
        <w:pStyle w:val="16"/>
        <w:widowControl/>
        <w:shd w:val="clear" w:color="auto" w:fill="FFFFFF"/>
        <w:adjustRightInd w:val="0"/>
        <w:snapToGrid w:val="0"/>
        <w:spacing w:beforeAutospacing="0" w:afterAutospacing="0" w:line="400" w:lineRule="exact"/>
        <w:jc w:val="both"/>
        <w:rPr>
          <w:rFonts w:ascii="方正黑体_GBK" w:eastAsia="方正黑体_GBK" w:cs="楷体_GB2312"/>
          <w:bCs/>
          <w:sz w:val="32"/>
          <w:szCs w:val="32"/>
        </w:rPr>
      </w:pPr>
    </w:p>
    <w:p>
      <w:pPr>
        <w:pStyle w:val="16"/>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eastAsia="方正仿宋_GBK" w:hint="eastAsia"/>
          <w:sz w:val="32"/>
          <w:szCs w:val="32"/>
        </w:rPr>
        <w:t>根据《</w:t>
      </w:r>
      <w:r>
        <w:rPr>
          <w:rFonts w:eastAsia="方正仿宋_GBK"/>
          <w:sz w:val="32"/>
          <w:szCs w:val="32"/>
        </w:rPr>
        <w:t>中华人民共和国</w:t>
      </w:r>
      <w:r>
        <w:rPr>
          <w:rFonts w:eastAsia="方正仿宋_GBK" w:hint="eastAsia"/>
          <w:sz w:val="32"/>
          <w:szCs w:val="32"/>
        </w:rPr>
        <w:t>政府信息公开条例》（国令711号）</w:t>
      </w:r>
      <w:r>
        <w:rPr>
          <w:rFonts w:eastAsia="方正仿宋_GBK"/>
          <w:sz w:val="32"/>
          <w:szCs w:val="32"/>
        </w:rPr>
        <w:t>要求</w:t>
      </w:r>
      <w:r>
        <w:rPr>
          <w:rFonts w:eastAsia="方正仿宋_GBK" w:hint="eastAsia"/>
          <w:sz w:val="32"/>
          <w:szCs w:val="32"/>
        </w:rPr>
        <w:t>，</w:t>
      </w:r>
      <w:r>
        <w:rPr>
          <w:rFonts w:eastAsia="方正仿宋_GBK"/>
          <w:sz w:val="32"/>
          <w:szCs w:val="32"/>
        </w:rPr>
        <w:t>邕州海关积极开展政府信息公开工作，</w:t>
      </w:r>
      <w:r>
        <w:rPr>
          <w:rFonts w:eastAsia="方正仿宋_GBK" w:hint="eastAsia"/>
          <w:sz w:val="32"/>
          <w:szCs w:val="32"/>
        </w:rPr>
        <w:t>现将</w:t>
      </w:r>
      <w:r>
        <w:rPr>
          <w:rFonts w:eastAsia="方正仿宋_GBK"/>
          <w:sz w:val="32"/>
          <w:szCs w:val="32"/>
        </w:rPr>
        <w:t>2019年开展的</w:t>
      </w:r>
      <w:r>
        <w:rPr>
          <w:rFonts w:eastAsia="方正仿宋_GBK" w:hint="eastAsia"/>
          <w:sz w:val="32"/>
          <w:szCs w:val="32"/>
        </w:rPr>
        <w:t>具体情况公开如下：</w:t>
      </w:r>
      <w:r>
        <w:rPr>
          <w:rFonts w:ascii="方正黑体_GBK" w:eastAsia="方正黑体_GBK" w:cs="楷体_GB2312"/>
          <w:bCs/>
          <w:sz w:val="32"/>
          <w:szCs w:val="32"/>
        </w:rPr>
        <w:t xml:space="preserve"> </w:t>
      </w:r>
    </w:p>
    <w:p>
      <w:pPr>
        <w:widowControl/>
        <w:spacing w:line="560" w:lineRule="exact"/>
        <w:ind w:firstLineChars="200" w:firstLine="640"/>
        <w:rPr>
          <w:rFonts w:ascii="方正黑体_GBK" w:eastAsia="方正黑体_GBK" w:cs="楷体_GB2312"/>
          <w:bCs/>
          <w:sz w:val="32"/>
          <w:szCs w:val="32"/>
          <w:shd w:val="clear" w:color="auto" w:fill="FFFFFF"/>
        </w:rPr>
      </w:pPr>
      <w:r>
        <w:rPr>
          <w:rFonts w:ascii="楷体_GB2312" w:eastAsia="楷体_GB2312" w:cs="楷体_GB2312" w:hint="eastAsia"/>
          <w:bCs/>
          <w:sz w:val="32"/>
          <w:szCs w:val="32"/>
          <w:shd w:val="clear" w:color="auto" w:fill="FFFFFF"/>
        </w:rPr>
        <w:t xml:space="preserve"> </w:t>
      </w:r>
      <w:r>
        <w:rPr>
          <w:rFonts w:ascii="方正黑体_GBK" w:eastAsia="方正黑体_GBK" w:cs="楷体_GB2312" w:hint="eastAsia"/>
          <w:bCs/>
          <w:sz w:val="32"/>
          <w:szCs w:val="32"/>
          <w:shd w:val="clear" w:color="auto" w:fill="FFFFFF"/>
        </w:rPr>
        <w:t>一、总体情况</w:t>
      </w:r>
    </w:p>
    <w:p>
      <w:pPr>
        <w:widowControl/>
        <w:spacing w:line="560" w:lineRule="exact"/>
        <w:ind w:firstLineChars="200" w:firstLine="640"/>
        <w:rPr>
          <w:rFonts w:eastAsia="方正仿宋_GBK"/>
          <w:sz w:val="32"/>
          <w:szCs w:val="32"/>
        </w:rPr>
      </w:pPr>
      <w:r>
        <w:rPr>
          <w:rFonts w:eastAsia="方正仿宋_GBK"/>
          <w:sz w:val="32"/>
          <w:szCs w:val="32"/>
        </w:rPr>
        <w:t>邕州海关</w:t>
      </w:r>
      <w:r>
        <w:rPr>
          <w:rFonts w:eastAsia="方正仿宋_GBK" w:hint="eastAsia"/>
          <w:sz w:val="32"/>
          <w:szCs w:val="32"/>
        </w:rPr>
        <w:t>积极</w:t>
      </w:r>
      <w:r>
        <w:rPr>
          <w:rFonts w:eastAsia="方正仿宋_GBK" w:hint="eastAsia"/>
          <w:kern w:val="0"/>
          <w:sz w:val="32"/>
          <w:szCs w:val="32"/>
        </w:rPr>
        <w:t>落实国务院办公厅《2019年政务公开工作要点》</w:t>
      </w:r>
      <w:r>
        <w:rPr>
          <w:rFonts w:eastAsia="方正仿宋_GBK"/>
          <w:kern w:val="0"/>
          <w:sz w:val="32"/>
          <w:szCs w:val="32"/>
        </w:rPr>
        <w:t>和</w:t>
      </w:r>
      <w:r>
        <w:rPr>
          <w:rFonts w:eastAsia="方正仿宋_GBK" w:hint="eastAsia"/>
          <w:sz w:val="32"/>
          <w:szCs w:val="32"/>
        </w:rPr>
        <w:t>《</w:t>
      </w:r>
      <w:r>
        <w:rPr>
          <w:rFonts w:eastAsia="方正仿宋_GBK"/>
          <w:sz w:val="32"/>
          <w:szCs w:val="32"/>
        </w:rPr>
        <w:t>中华人民共和国</w:t>
      </w:r>
      <w:r>
        <w:rPr>
          <w:rFonts w:eastAsia="方正仿宋_GBK" w:hint="eastAsia"/>
          <w:sz w:val="32"/>
          <w:szCs w:val="32"/>
        </w:rPr>
        <w:t>政府信息公开条例》</w:t>
      </w:r>
      <w:r>
        <w:rPr>
          <w:rFonts w:eastAsia="方正仿宋_GBK" w:hint="eastAsia"/>
          <w:kern w:val="0"/>
          <w:sz w:val="32"/>
          <w:szCs w:val="32"/>
        </w:rPr>
        <w:t>，全面提升政务公开质量和实效，积极推进重点领域信息公开，加强政策解读、政务舆情回应。</w:t>
      </w:r>
      <w:r>
        <w:rPr>
          <w:rFonts w:eastAsia="方正仿宋_GBK"/>
          <w:sz w:val="32"/>
          <w:szCs w:val="32"/>
        </w:rPr>
        <w:t>2019年我关找准定位，抓重点、抓亮点，积极回应社会关切，增强政策解读效果，取得了良好的成效。</w:t>
      </w:r>
    </w:p>
    <w:p>
      <w:pPr>
        <w:widowControl/>
        <w:spacing w:line="560" w:lineRule="exact"/>
        <w:ind w:firstLineChars="200" w:firstLine="640"/>
        <w:rPr>
          <w:rFonts w:eastAsia="方正仿宋_GBK"/>
          <w:sz w:val="32"/>
          <w:szCs w:val="32"/>
        </w:rPr>
      </w:pPr>
      <w:r>
        <w:rPr>
          <w:rFonts w:eastAsia="方正仿宋_GBK"/>
          <w:b/>
          <w:bCs/>
          <w:sz w:val="32"/>
          <w:szCs w:val="32"/>
        </w:rPr>
        <w:t>一是</w:t>
      </w:r>
      <w:r>
        <w:rPr>
          <w:rFonts w:eastAsia="方正仿宋_GBK"/>
          <w:sz w:val="32"/>
          <w:szCs w:val="32"/>
        </w:rPr>
        <w:t>年内在国门安全防控、口岸提效降费、优化营商环境等社会关注的海关工作方面作了新闻宣传报导。我关积极主动与</w:t>
      </w:r>
      <w:r>
        <w:rPr>
          <w:rFonts w:eastAsia="方正仿宋_GBK" w:hint="eastAsia"/>
          <w:sz w:val="32"/>
          <w:szCs w:val="32"/>
        </w:rPr>
        <w:t>南宁海关</w:t>
      </w:r>
      <w:r>
        <w:rPr>
          <w:rFonts w:eastAsia="方正仿宋_GBK"/>
          <w:sz w:val="32"/>
          <w:szCs w:val="32"/>
        </w:rPr>
        <w:t>各职能部门、广西区级媒体、市级媒体沟通联系，实时关注总署在涉及口岸提效降费、原产地证书签发、优化营商环境、简政放权服务企业等工作动向，积极开展政策调整宣传。本年度刊发我关各类宣传报道媒体覆盖广西广播电视台、南宁广播电视台，广西日报、广西法治日报等区、市级媒体。报道同时被人民网、光明网、中国新闻网等网络新闻媒体转载。新媒体类宣传稿件发布在</w:t>
      </w:r>
      <w:r>
        <w:rPr>
          <w:rFonts w:eastAsia="方正仿宋_GBK" w:hint="eastAsia"/>
          <w:sz w:val="32"/>
          <w:szCs w:val="32"/>
        </w:rPr>
        <w:t>“</w:t>
      </w:r>
      <w:r>
        <w:rPr>
          <w:rFonts w:eastAsia="方正仿宋_GBK"/>
          <w:sz w:val="32"/>
          <w:szCs w:val="32"/>
        </w:rPr>
        <w:t>关馨</w:t>
      </w:r>
      <w:r>
        <w:rPr>
          <w:rFonts w:eastAsia="方正仿宋_GBK" w:hint="eastAsia"/>
          <w:sz w:val="32"/>
          <w:szCs w:val="32"/>
        </w:rPr>
        <w:t>”</w:t>
      </w:r>
      <w:r>
        <w:rPr>
          <w:rFonts w:eastAsia="方正仿宋_GBK"/>
          <w:sz w:val="32"/>
          <w:szCs w:val="32"/>
        </w:rPr>
        <w:t>、</w:t>
      </w:r>
      <w:r>
        <w:rPr>
          <w:rFonts w:eastAsia="方正仿宋_GBK" w:hint="eastAsia"/>
          <w:sz w:val="32"/>
          <w:szCs w:val="32"/>
        </w:rPr>
        <w:t>“</w:t>
      </w:r>
      <w:r>
        <w:rPr>
          <w:rFonts w:eastAsia="方正仿宋_GBK"/>
          <w:sz w:val="32"/>
          <w:szCs w:val="32"/>
        </w:rPr>
        <w:t>南宁海关发布</w:t>
      </w:r>
      <w:r>
        <w:rPr>
          <w:rFonts w:eastAsia="方正仿宋_GBK" w:hint="eastAsia"/>
          <w:sz w:val="32"/>
          <w:szCs w:val="32"/>
        </w:rPr>
        <w:t>”</w:t>
      </w:r>
      <w:r>
        <w:rPr>
          <w:rFonts w:eastAsia="方正仿宋_GBK"/>
          <w:sz w:val="32"/>
          <w:szCs w:val="32"/>
        </w:rPr>
        <w:t>等关区微信公众号及海关总署12360热线、</w:t>
      </w:r>
      <w:r>
        <w:rPr>
          <w:rFonts w:eastAsia="方正仿宋_GBK" w:hint="eastAsia"/>
          <w:sz w:val="32"/>
          <w:szCs w:val="32"/>
        </w:rPr>
        <w:t>“</w:t>
      </w:r>
      <w:r>
        <w:rPr>
          <w:rFonts w:eastAsia="方正仿宋_GBK"/>
          <w:sz w:val="32"/>
          <w:szCs w:val="32"/>
        </w:rPr>
        <w:t>金钥匙</w:t>
      </w:r>
      <w:r>
        <w:rPr>
          <w:rFonts w:eastAsia="方正仿宋_GBK" w:hint="eastAsia"/>
          <w:sz w:val="32"/>
          <w:szCs w:val="32"/>
        </w:rPr>
        <w:t>”</w:t>
      </w:r>
      <w:r>
        <w:rPr>
          <w:rFonts w:eastAsia="方正仿宋_GBK"/>
          <w:sz w:val="32"/>
          <w:szCs w:val="32"/>
        </w:rPr>
        <w:t>、</w:t>
      </w:r>
      <w:r>
        <w:rPr>
          <w:rFonts w:eastAsia="方正仿宋_GBK" w:hint="eastAsia"/>
          <w:sz w:val="32"/>
          <w:szCs w:val="32"/>
        </w:rPr>
        <w:t>“</w:t>
      </w:r>
      <w:r>
        <w:rPr>
          <w:rFonts w:eastAsia="方正仿宋_GBK"/>
          <w:sz w:val="32"/>
          <w:szCs w:val="32"/>
        </w:rPr>
        <w:t>海关发布</w:t>
      </w:r>
      <w:r>
        <w:rPr>
          <w:rFonts w:eastAsia="方正仿宋_GBK" w:hint="eastAsia"/>
          <w:sz w:val="32"/>
          <w:szCs w:val="32"/>
        </w:rPr>
        <w:t>”</w:t>
      </w:r>
      <w:r>
        <w:rPr>
          <w:rFonts w:eastAsia="方正仿宋_GBK"/>
          <w:sz w:val="32"/>
          <w:szCs w:val="32"/>
        </w:rPr>
        <w:t>等署级微信公众号及总署政务微博。</w:t>
      </w:r>
    </w:p>
    <w:p>
      <w:pPr>
        <w:widowControl/>
        <w:spacing w:line="560" w:lineRule="exact"/>
        <w:ind w:firstLineChars="200" w:firstLine="640"/>
        <w:rPr>
          <w:rFonts w:eastAsia="方正仿宋_GBK"/>
          <w:sz w:val="32"/>
          <w:szCs w:val="32"/>
        </w:rPr>
      </w:pPr>
      <w:r>
        <w:rPr>
          <w:rFonts w:eastAsia="方正仿宋_GBK"/>
          <w:b/>
          <w:bCs/>
          <w:sz w:val="32"/>
          <w:szCs w:val="32"/>
        </w:rPr>
        <w:t>二是</w:t>
      </w:r>
      <w:r>
        <w:rPr>
          <w:rFonts w:eastAsia="方正仿宋_GBK"/>
          <w:sz w:val="32"/>
          <w:szCs w:val="32"/>
        </w:rPr>
        <w:t>我关与南宁市商务局共同主办南宁市加工贸易及保税监管业务宣讲会在南宁市政府成功举行。邀请北海海关保税监管集中审核中心业务骨干就</w:t>
      </w:r>
      <w:r>
        <w:rPr>
          <w:rFonts w:eastAsia="方正仿宋_GBK" w:hint="eastAsia"/>
          <w:sz w:val="32"/>
          <w:szCs w:val="32"/>
        </w:rPr>
        <w:t>“</w:t>
      </w:r>
      <w:r>
        <w:rPr>
          <w:rFonts w:eastAsia="方正仿宋_GBK"/>
          <w:sz w:val="32"/>
          <w:szCs w:val="32"/>
        </w:rPr>
        <w:t>金关二期</w:t>
      </w:r>
      <w:r>
        <w:rPr>
          <w:rFonts w:eastAsia="方正仿宋_GBK" w:hint="eastAsia"/>
          <w:sz w:val="32"/>
          <w:szCs w:val="32"/>
        </w:rPr>
        <w:t>”</w:t>
      </w:r>
      <w:r>
        <w:rPr>
          <w:rFonts w:eastAsia="方正仿宋_GBK"/>
          <w:sz w:val="32"/>
          <w:szCs w:val="32"/>
        </w:rPr>
        <w:t>加工贸易管理系统切换相关问题以及南宁海关保税监管集中审核常见问题进行宣讲，对企业在保税业务开展过程中的疑问进行现场解答。南宁市共32家企业，49人参加本次宣讲会。</w:t>
      </w:r>
      <w:r>
        <w:rPr>
          <w:rFonts w:eastAsia="方正仿宋_GBK" w:hint="eastAsia"/>
          <w:sz w:val="32"/>
          <w:szCs w:val="32"/>
        </w:rPr>
        <w:t>主动</w:t>
      </w:r>
      <w:r>
        <w:rPr>
          <w:rFonts w:eastAsia="方正仿宋_GBK" w:hint="eastAsia"/>
          <w:kern w:val="0"/>
          <w:sz w:val="32"/>
          <w:szCs w:val="32"/>
        </w:rPr>
        <w:t>制作法制动漫宣传片《东博会吃货记》，宣传食品安全法和动植物检疫法。</w:t>
      </w:r>
    </w:p>
    <w:p>
      <w:pPr>
        <w:widowControl/>
        <w:spacing w:line="560" w:lineRule="exact"/>
        <w:ind w:firstLineChars="200" w:firstLine="640"/>
        <w:rPr>
          <w:rFonts w:eastAsia="方正仿宋_GBK"/>
          <w:sz w:val="32"/>
          <w:szCs w:val="32"/>
        </w:rPr>
      </w:pPr>
      <w:r>
        <w:rPr>
          <w:rFonts w:eastAsia="方正仿宋_GBK"/>
          <w:b/>
          <w:bCs/>
          <w:sz w:val="32"/>
          <w:szCs w:val="32"/>
        </w:rPr>
        <w:t>三是</w:t>
      </w:r>
      <w:r>
        <w:rPr>
          <w:rFonts w:eastAsia="方正仿宋_GBK"/>
          <w:sz w:val="32"/>
          <w:szCs w:val="32"/>
        </w:rPr>
        <w:t>今年我关前往南湖社区开展</w:t>
      </w:r>
      <w:r>
        <w:rPr>
          <w:rFonts w:eastAsia="方正仿宋_GBK" w:hint="eastAsia"/>
          <w:sz w:val="32"/>
          <w:szCs w:val="32"/>
        </w:rPr>
        <w:t>“</w:t>
      </w:r>
      <w:r>
        <w:rPr>
          <w:rFonts w:eastAsia="方正仿宋_GBK"/>
          <w:sz w:val="32"/>
          <w:szCs w:val="32"/>
        </w:rPr>
        <w:t>进口食品安全社区行</w:t>
      </w:r>
      <w:r>
        <w:rPr>
          <w:rFonts w:eastAsia="方正仿宋_GBK" w:hint="eastAsia"/>
          <w:sz w:val="32"/>
          <w:szCs w:val="32"/>
        </w:rPr>
        <w:t>”</w:t>
      </w:r>
      <w:r>
        <w:rPr>
          <w:rFonts w:eastAsia="方正仿宋_GBK"/>
          <w:sz w:val="32"/>
          <w:szCs w:val="32"/>
        </w:rPr>
        <w:t>和</w:t>
      </w:r>
      <w:r>
        <w:rPr>
          <w:rFonts w:eastAsia="方正仿宋_GBK" w:hint="eastAsia"/>
          <w:sz w:val="32"/>
          <w:szCs w:val="32"/>
        </w:rPr>
        <w:t>“</w:t>
      </w:r>
      <w:r>
        <w:rPr>
          <w:rFonts w:eastAsia="方正仿宋_GBK"/>
          <w:sz w:val="32"/>
          <w:szCs w:val="32"/>
        </w:rPr>
        <w:t>国门生物安全进社区</w:t>
      </w:r>
      <w:r>
        <w:rPr>
          <w:rFonts w:eastAsia="方正仿宋_GBK" w:hint="eastAsia"/>
          <w:sz w:val="32"/>
          <w:szCs w:val="32"/>
        </w:rPr>
        <w:t>”</w:t>
      </w:r>
      <w:r>
        <w:rPr>
          <w:rFonts w:eastAsia="方正仿宋_GBK"/>
          <w:sz w:val="32"/>
          <w:szCs w:val="32"/>
        </w:rPr>
        <w:t>的全国食品安全宣传周主题日活动，增进消费者对进口食品安全监管、食品安全基本常识的了解，增强广大市民的国门生物安全意识。</w:t>
      </w:r>
    </w:p>
    <w:p>
      <w:pPr>
        <w:widowControl/>
        <w:spacing w:line="560" w:lineRule="exact"/>
        <w:ind w:firstLineChars="200" w:firstLine="640"/>
        <w:rPr>
          <w:rFonts w:eastAsia="方正仿宋_GBK"/>
          <w:kern w:val="0"/>
          <w:sz w:val="32"/>
          <w:szCs w:val="32"/>
        </w:rPr>
      </w:pPr>
      <w:r>
        <w:rPr>
          <w:rFonts w:eastAsia="方正仿宋_GBK"/>
          <w:kern w:val="0"/>
          <w:sz w:val="32"/>
          <w:szCs w:val="32"/>
        </w:rPr>
        <w:t>我关全年未收到政府信息公开申请，无因政府信息公开工作被申请行政复议、提起行政诉讼的情况</w:t>
      </w:r>
      <w:r>
        <w:rPr>
          <w:rFonts w:eastAsia="方正仿宋_GBK" w:hint="eastAsia"/>
          <w:kern w:val="0"/>
          <w:sz w:val="32"/>
          <w:szCs w:val="32"/>
        </w:rPr>
        <w:t>，</w:t>
      </w:r>
      <w:r>
        <w:rPr>
          <w:rFonts w:eastAsia="方正仿宋_GBK"/>
          <w:kern w:val="0"/>
          <w:sz w:val="32"/>
          <w:szCs w:val="32"/>
        </w:rPr>
        <w:t>也</w:t>
      </w:r>
      <w:r>
        <w:rPr>
          <w:rFonts w:eastAsia="方正仿宋_GBK" w:hint="eastAsia"/>
          <w:kern w:val="0"/>
          <w:sz w:val="32"/>
          <w:szCs w:val="32"/>
        </w:rPr>
        <w:t>无其他需要报告的事项。</w:t>
      </w:r>
    </w:p>
    <w:p>
      <w:pPr>
        <w:keepNext w:val="0"/>
        <w:keepLines w:val="0"/>
        <w:pageBreakBefore w:val="0"/>
        <w:widowControl w:val="0"/>
        <w:suppressLineNumbers w:val="0"/>
        <w:suppressAutoHyphens w:val="0"/>
        <w:spacing w:line="560" w:lineRule="exact"/>
        <w:ind w:firstLineChars="200" w:firstLine="640"/>
        <w:rPr>
          <w:rFonts w:eastAsia="方正仿宋_GBK"/>
          <w:sz w:val="32"/>
          <w:szCs w:val="32"/>
        </w:rPr>
      </w:pPr>
      <w:r>
        <w:rPr>
          <w:rFonts w:ascii="方正黑体_GBK" w:eastAsia="方正黑体_GBK" w:cs="楷体_GB2312" w:hint="eastAsia"/>
          <w:bCs/>
          <w:sz w:val="32"/>
          <w:szCs w:val="32"/>
          <w:shd w:val="clear" w:color="auto" w:fill="FFFFFF"/>
        </w:rPr>
        <w:t>二、主动公开政府信息情况</w:t>
      </w:r>
    </w:p>
    <w:tbl>
      <w:tblPr>
        <w:jc w:val="left"/>
        <w:tblInd w:w="-569" w:type="dxa"/>
        <w:tblW w:w="10293"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113"/>
        <w:gridCol w:w="2183"/>
        <w:gridCol w:w="1551"/>
        <w:gridCol w:w="3446"/>
      </w:tblGrid>
      <w:tr>
        <w:trPr>
          <w:trHeight w:val="495"/>
        </w:trPr>
        <w:tc>
          <w:tcPr>
            <w:tcW w:w="10293"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spacing w:after="180"/>
              <w:jc w:val="center"/>
              <w:rPr>
                <w:sz w:val="24"/>
                <w:szCs w:val="24"/>
              </w:rPr>
            </w:pPr>
            <w:r>
              <w:rPr>
                <w:rFonts w:ascii="宋体" w:cs="宋体" w:hint="eastAsia"/>
                <w:kern w:val="0"/>
                <w:sz w:val="24"/>
                <w:szCs w:val="24"/>
              </w:rPr>
              <w:t>第二十条第（一）项</w:t>
            </w:r>
          </w:p>
        </w:tc>
      </w:tr>
      <w:tr>
        <w:trPr>
          <w:trHeight w:val="88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本年新</w:t>
              <w:br/>
            </w:r>
            <w:r>
              <w:rPr>
                <w:kern w:val="0"/>
                <w:sz w:val="24"/>
                <w:szCs w:val="24"/>
              </w:rPr>
              <w:t>制作数量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本年新</w:t>
              <w:br/>
            </w:r>
            <w:r>
              <w:rPr>
                <w:kern w:val="0"/>
                <w:sz w:val="24"/>
                <w:szCs w:val="24"/>
              </w:rPr>
              <w:t>公开数量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对外公开总数量</w:t>
            </w:r>
          </w:p>
        </w:tc>
      </w:tr>
      <w:tr>
        <w:trPr>
          <w:trHeight w:val="272"/>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r>
      <w:tr>
        <w:trPr>
          <w:trHeight w:val="471"/>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r>
      <w:tr>
        <w:trPr>
          <w:trHeight w:val="480"/>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第二十条第（五）项</w:t>
            </w:r>
          </w:p>
        </w:tc>
      </w:tr>
      <w:tr>
        <w:trPr>
          <w:trHeight w:val="436"/>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处理决定数量</w:t>
            </w:r>
          </w:p>
        </w:tc>
      </w:tr>
      <w:tr>
        <w:trPr>
          <w:trHeight w:val="40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1</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22</w:t>
            </w:r>
          </w:p>
        </w:tc>
      </w:tr>
      <w:tr>
        <w:trPr>
          <w:trHeight w:val="40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第二十条第（六）项</w:t>
            </w:r>
          </w:p>
        </w:tc>
      </w:tr>
      <w:tr>
        <w:trPr>
          <w:trHeight w:val="4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上一年项目数量</w:t>
            </w:r>
          </w:p>
        </w:tc>
        <w:tc>
          <w:tcPr>
            <w:tcW w:w="1551"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本年增/减</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处理决定数量</w:t>
            </w:r>
          </w:p>
        </w:tc>
      </w:tr>
      <w:tr>
        <w:trPr>
          <w:trHeight w:val="43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r>
      <w:tr>
        <w:trPr>
          <w:trHeight w:val="40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1551"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344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r>
      <w:tr>
        <w:trPr>
          <w:trHeight w:val="474"/>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第二十条第（八）项</w:t>
            </w:r>
          </w:p>
        </w:tc>
      </w:tr>
      <w:tr>
        <w:trPr>
          <w:trHeight w:val="270"/>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上一年项目数量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本年增/减</w:t>
            </w:r>
          </w:p>
        </w:tc>
      </w:tr>
      <w:tr>
        <w:trPr>
          <w:trHeight w:val="347"/>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r>
      <w:tr>
        <w:trPr>
          <w:trHeight w:val="476"/>
        </w:trPr>
        <w:tc>
          <w:tcPr>
            <w:tcW w:w="10293"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第二十条第（九）项</w:t>
            </w:r>
          </w:p>
        </w:tc>
      </w:tr>
      <w:tr>
        <w:trPr>
          <w:trHeight w:val="41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采购项目数量</w:t>
            </w:r>
          </w:p>
        </w:tc>
        <w:tc>
          <w:tcPr>
            <w:tcW w:w="4997"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采购总金额</w:t>
            </w:r>
          </w:p>
        </w:tc>
      </w:tr>
      <w:tr>
        <w:trPr>
          <w:trHeight w:val="539"/>
        </w:trPr>
        <w:tc>
          <w:tcPr>
            <w:tcW w:w="3113"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left"/>
              <w:rPr>
                <w:sz w:val="24"/>
                <w:szCs w:val="24"/>
              </w:rPr>
            </w:pPr>
            <w:r>
              <w:rPr>
                <w:rFonts w:ascii="宋体" w:cs="宋体" w:hint="eastAsia"/>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adjustRightInd w:val="0"/>
              <w:snapToGrid w:val="0"/>
              <w:spacing w:after="180" w:line="260" w:lineRule="exact"/>
              <w:jc w:val="center"/>
              <w:rPr>
                <w:sz w:val="24"/>
                <w:szCs w:val="24"/>
              </w:rPr>
            </w:pPr>
            <w:r>
              <w:rPr>
                <w:rFonts w:ascii="宋体" w:cs="宋体" w:hint="eastAsia"/>
                <w:kern w:val="0"/>
                <w:sz w:val="24"/>
                <w:szCs w:val="24"/>
              </w:rPr>
              <w:t>0</w:t>
            </w:r>
          </w:p>
        </w:tc>
        <w:tc>
          <w:tcPr>
            <w:tcW w:w="4997"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pPr>
              <w:adjustRightInd w:val="0"/>
              <w:snapToGrid w:val="0"/>
              <w:spacing w:line="260" w:lineRule="exact"/>
              <w:jc w:val="center"/>
              <w:rPr>
                <w:rFonts w:ascii="宋体"/>
                <w:sz w:val="24"/>
                <w:szCs w:val="24"/>
              </w:rPr>
            </w:pPr>
            <w:r>
              <w:rPr>
                <w:rFonts w:ascii="宋体" w:hint="eastAsia"/>
                <w:sz w:val="24"/>
                <w:szCs w:val="24"/>
              </w:rPr>
              <w:t>0</w:t>
            </w:r>
          </w:p>
        </w:tc>
      </w:tr>
    </w:tbl>
    <w:p>
      <w:pPr>
        <w:pStyle w:val="16"/>
        <w:widowControl/>
        <w:shd w:val="clear" w:color="auto" w:fill="FFFFFF"/>
        <w:spacing w:beforeAutospacing="0" w:after="240" w:afterAutospacing="0"/>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申请人情况</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rFonts w:ascii="宋体"/>
                <w:sz w:val="24"/>
                <w:szCs w:val="24"/>
              </w:rP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总计</w:t>
            </w:r>
          </w:p>
        </w:tc>
      </w:tr>
      <w:t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rFonts w:ascii="宋体"/>
                <w:sz w:val="24"/>
                <w:szCs w:val="24"/>
              </w:rP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widowControl/>
              <w:spacing w:after="180"/>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pPr>
              <w:widowControl/>
              <w:spacing w:after="180"/>
              <w:jc w:val="center"/>
              <w:rPr>
                <w:kern w:val="0"/>
                <w:sz w:val="24"/>
                <w:szCs w:val="24"/>
              </w:rPr>
            </w:pPr>
            <w:r>
              <w:rPr>
                <w:kern w:val="0"/>
                <w:sz w:val="24"/>
                <w:szCs w:val="24"/>
              </w:rPr>
              <w:t>0</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3.危及“三安全一稳定”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 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3.补正后申请内容仍不明确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（六）其他处理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left"/>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kern w:val="0"/>
                <w:sz w:val="24"/>
                <w:szCs w:val="24"/>
              </w:rPr>
              <w:t>0 </w:t>
            </w:r>
          </w:p>
        </w:tc>
      </w:tr>
    </w:tbl>
    <w:p>
      <w:pPr>
        <w:pStyle w:val="16"/>
        <w:widowControl/>
        <w:shd w:val="clear" w:color="auto" w:fill="FFFFFF"/>
        <w:spacing w:beforeAutospacing="0" w:after="24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宋体" w:cs="宋体" w:hint="eastAsia"/>
                <w:kern w:val="0"/>
                <w:sz w:val="24"/>
                <w:szCs w:val="24"/>
              </w:rPr>
              <w:t>总计</w:t>
            </w:r>
          </w:p>
        </w:tc>
      </w:tr>
      <w:t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widowControl/>
              <w:spacing w:after="180"/>
              <w:jc w:val="center"/>
              <w:rPr>
                <w:sz w:val="24"/>
                <w:szCs w:val="24"/>
              </w:rPr>
            </w:pPr>
            <w:r>
              <w:rPr>
                <w:rFonts w:ascii="Calibri" w:cs="Calibri" w:hAnsi="Calibri"/>
                <w:kern w:val="0"/>
                <w:sz w:val="24"/>
                <w:szCs w:val="24"/>
              </w:rPr>
              <w:t> </w:t>
            </w:r>
            <w:r>
              <w:rPr>
                <w:rFonts w:ascii="Calibri" w:cs="Calibri" w:hAnsi="Calibri" w:hint="eastAsia"/>
                <w:kern w:val="0"/>
                <w:sz w:val="24"/>
                <w:szCs w:val="24"/>
              </w:rPr>
              <w:t>0</w:t>
            </w:r>
          </w:p>
        </w:tc>
      </w:tr>
    </w:tbl>
    <w:p>
      <w:pPr>
        <w:widowControl/>
        <w:shd w:val="clear" w:color="auto" w:fill="FFFFFF"/>
        <w:jc w:val="center"/>
        <w:rPr>
          <w:rFonts w:ascii="宋体" w:cs="宋体"/>
          <w:sz w:val="24"/>
          <w:szCs w:val="24"/>
        </w:rPr>
      </w:pPr>
    </w:p>
    <w:p>
      <w:pPr>
        <w:spacing w:line="560" w:lineRule="exact"/>
        <w:ind w:firstLineChars="200" w:firstLine="640"/>
        <w:rPr>
          <w:rFonts w:ascii="方正仿宋_GBK" w:eastAsia="方正仿宋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spacing w:line="560" w:lineRule="exact"/>
        <w:ind w:firstLineChars="200" w:firstLine="640"/>
        <w:rPr>
          <w:rFonts w:ascii="方正仿宋_GBK" w:eastAsia="方正仿宋_GBK" w:cs="楷体_GB2312"/>
          <w:bCs/>
          <w:sz w:val="32"/>
          <w:szCs w:val="32"/>
          <w:shd w:val="clear" w:color="auto" w:fill="FFFFFF"/>
        </w:rPr>
      </w:pPr>
      <w:r>
        <w:rPr>
          <w:rFonts w:ascii="方正仿宋_GBK" w:eastAsia="方正仿宋_GBK" w:cs="楷体_GB2312" w:hint="eastAsia"/>
          <w:bCs/>
          <w:sz w:val="32"/>
          <w:szCs w:val="32"/>
          <w:shd w:val="clear" w:color="auto" w:fill="FFFFFF"/>
        </w:rPr>
        <w:t>我关政府信息公开形式比较单一，不够多元化。目前主要是纸张张贴公布和上报</w:t>
      </w:r>
      <w:bookmarkStart w:id="1" w:name="_GoBack"/>
      <w:bookmarkEnd w:id="1"/>
      <w:r>
        <w:rPr>
          <w:rFonts w:ascii="方正仿宋_GBK" w:eastAsia="方正仿宋_GBK" w:cs="楷体_GB2312" w:hint="eastAsia"/>
          <w:bCs/>
          <w:sz w:val="32"/>
          <w:szCs w:val="32"/>
          <w:shd w:val="clear" w:color="auto" w:fill="FFFFFF"/>
        </w:rPr>
        <w:t>上级部门在南宁海关官方网站公布。</w:t>
      </w:r>
      <w:r>
        <w:rPr>
          <w:rFonts w:ascii="方正仿宋_GBK" w:eastAsia="方正仿宋_GBK" w:cs="楷体_GB2312"/>
          <w:bCs/>
          <w:sz w:val="32"/>
          <w:szCs w:val="32"/>
          <w:shd w:val="clear" w:color="auto" w:fill="FFFFFF"/>
        </w:rPr>
        <w:t>下一步我关将充分</w:t>
      </w:r>
      <w:r>
        <w:rPr>
          <w:rFonts w:ascii="方正仿宋_GBK" w:eastAsia="方正仿宋_GBK" w:cs="楷体_GB2312" w:hint="eastAsia"/>
          <w:bCs/>
          <w:sz w:val="32"/>
          <w:szCs w:val="32"/>
          <w:shd w:val="clear" w:color="auto" w:fill="FFFFFF"/>
        </w:rPr>
        <w:t>利用多媒体手段，使公开方式</w:t>
      </w:r>
      <w:r>
        <w:rPr>
          <w:rFonts w:ascii="方正仿宋_GBK" w:eastAsia="方正仿宋_GBK" w:cs="楷体_GB2312"/>
          <w:bCs/>
          <w:sz w:val="32"/>
          <w:szCs w:val="32"/>
          <w:shd w:val="clear" w:color="auto" w:fill="FFFFFF"/>
        </w:rPr>
        <w:t>与时俱进，</w:t>
      </w:r>
      <w:r>
        <w:rPr>
          <w:rFonts w:ascii="方正仿宋_GBK" w:eastAsia="方正仿宋_GBK" w:cs="楷体_GB2312" w:hint="eastAsia"/>
          <w:bCs/>
          <w:sz w:val="32"/>
          <w:szCs w:val="32"/>
          <w:shd w:val="clear" w:color="auto" w:fill="FFFFFF"/>
        </w:rPr>
        <w:t>更加电子化和多元化。</w:t>
      </w:r>
    </w:p>
    <w:sectPr>
      <w:footerReference w:type="default" r:id="rId2"/>
      <w:footerReference w:type="even" r:id="rId3"/>
      <w:pgSz w:w="11906" w:h="16838"/>
      <w:pgMar w:top="2098" w:right="1474" w:bottom="1871" w:left="1588" w:header="851" w:footer="992" w:gutter="0"/>
      <w:titlePg/>
      <w:docGrid w:type="lines" w:linePitch="408" w:charSpace="0"/>
    </w:sectPr>
  </w:body>
</w:document>
</file>

<file path=word/fontTable.xml><?xml version="1.0" encoding="utf-8"?>
<w:fonts xmlns:w="http://schemas.openxmlformats.org/wordprocessingml/2006/main" xmlns:r="http://schemas.openxmlformats.org/officeDocument/2006/relationships">
  <w:font w:name="仿宋_GB2312">
    <w:altName w:val="仿宋"/>
    <w:panose1 w:val="00000000000000000000"/>
    <w:charset w:val="86"/>
    <w:family w:val="modern"/>
    <w:pitch w:val="variable"/>
    <w:sig w:usb0="00000000" w:usb1="080E0000" w:usb2="00000000" w:usb3="00000000" w:csb0="00040000"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modern"/>
    <w:pitch w:val="variable"/>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jc w:val="right"/>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2</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5"/>
      <w:tabs>
        <w:tab w:val="center" w:pos="4153"/>
        <w:tab w:val="right" w:pos="8306"/>
      </w:tabs>
    </w:pPr>
    <w:r>
      <w:rPr>
        <w:rFonts w:ascii="仿宋_GB2312" w:eastAsia="仿宋_GB2312" w:hint="eastAsia"/>
        <w:sz w:val="30"/>
        <w:szCs w:val="30"/>
      </w:rPr>
      <w:t>—</w:t>
    </w:r>
    <w:r>
      <w:rPr>
        <w:rFonts w:ascii="仿宋_GB2312" w:eastAsia="仿宋_GB2312" w:hint="eastAsia"/>
        <w:sz w:val="30"/>
        <w:szCs w:val="30"/>
      </w:rPr>
      <w:fldChar w:fldCharType="begin"/>
    </w:r>
    <w:r>
      <w:rPr>
        <w:rFonts w:ascii="仿宋_GB2312" w:eastAsia="仿宋_GB2312" w:hint="eastAsia"/>
        <w:sz w:val="30"/>
        <w:szCs w:val="30"/>
      </w:rPr>
      <w:instrText xml:space="preserve"> PAGE   \* MERGEFORMAT </w:instrText>
    </w:r>
    <w:r>
      <w:rPr>
        <w:rFonts w:ascii="仿宋_GB2312" w:eastAsia="仿宋_GB2312" w:hint="eastAsia"/>
        <w:sz w:val="30"/>
        <w:szCs w:val="30"/>
      </w:rPr>
      <w:fldChar w:fldCharType="separate"/>
    </w:r>
    <w:r>
      <w:rPr>
        <w:rFonts w:ascii="仿宋_GB2312" w:eastAsia="仿宋_GB2312"/>
        <w:sz w:val="30"/>
        <w:szCs w:val="30"/>
        <w:lang w:val="zh-CN"/>
      </w:rPr>
      <w:t>2</w:t>
    </w:r>
    <w:r>
      <w:rPr>
        <w:rFonts w:ascii="仿宋_GB2312" w:eastAsia="仿宋_GB2312" w:hint="eastAsia"/>
        <w:sz w:val="30"/>
        <w:szCs w:val="30"/>
      </w:rPr>
      <w:fldChar w:fldCharType="end"/>
    </w:r>
    <w:r>
      <w:rPr>
        <w:rFonts w:ascii="仿宋_GB2312" w:eastAsia="仿宋_GB2312" w:hint="eastAsia"/>
        <w:sz w:val="30"/>
        <w:szCs w:val="30"/>
      </w:rPr>
      <w:t>—</w:t>
    </w:r>
  </w:p>
  <w:p>
    <w:pPr>
      <w:pStyle w:val="15"/>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5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0"/>
      <w:szCs w:val="30"/>
      <w:lang w:val="en-US" w:eastAsia="zh-CN" w:bidi="ar-SA"/>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Normal (Web)"/>
    <w:basedOn w:val="0"/>
    <w:pPr>
      <w:spacing w:beforeAutospacing="1" w:afterAutospacing="1"/>
      <w:jc w:val="left"/>
    </w:pPr>
    <w:rPr>
      <w:kern w:val="0"/>
      <w:sz w:val="24"/>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Balloon Text"/>
    <w:basedOn w:val="0"/>
    <w:rPr>
      <w:sz w:val="18"/>
      <w:szCs w:val="18"/>
    </w:rPr>
  </w:style>
  <w:style w:type="paragraph" w:customStyle="1" w:styleId="19">
    <w:name w:val="样式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0">
    <w:name w:val="样式 1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1">
    <w:name w:val="样式 2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2">
    <w:name w:val="样式 3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3">
    <w:name w:val="样式 小三"/>
    <w:pPr>
      <w:widowControl w:val="0"/>
      <w:jc w:val="both"/>
    </w:pPr>
    <w:rPr>
      <w:rFonts w:ascii="Times New Roman" w:eastAsia="宋体" w:cs="Times New Roman" w:hAnsi="Times New Roman"/>
      <w:kern w:val="2"/>
      <w:sz w:val="30"/>
      <w:szCs w:val="30"/>
      <w:lang w:val="en-US" w:eastAsia="zh-CN" w:bidi="ar-SA"/>
    </w:rPr>
  </w:style>
  <w:style w:type="paragraph" w:customStyle="1" w:styleId="24">
    <w:name w:val="样式 4 小四"/>
    <w:pPr>
      <w:widowControl w:val="0"/>
      <w:spacing w:beforeAutospacing="1" w:afterAutospacing="1"/>
      <w:jc w:val="left"/>
    </w:pPr>
    <w:rPr>
      <w:rFonts w:ascii="Times New Roman" w:eastAsia="宋体" w:cs="Times New Roman" w:hAnsi="Times New Roman"/>
      <w:kern w:val="0"/>
      <w:sz w:val="24"/>
      <w:szCs w:val="30"/>
      <w:lang w:val="en-US" w:eastAsia="zh-CN" w:bidi="ar-SA"/>
    </w:rPr>
  </w:style>
  <w:style w:type="paragraph" w:customStyle="1" w:styleId="25">
    <w:name w:val="样式 1 小三"/>
    <w:pPr>
      <w:widowControl w:val="0"/>
      <w:jc w:val="both"/>
    </w:pPr>
    <w:rPr>
      <w:rFonts w:ascii="Times New Roman" w:eastAsia="宋体" w:cs="Times New Roman" w:hAnsi="Times New Roman"/>
      <w:kern w:val="2"/>
      <w:sz w:val="30"/>
      <w:szCs w:val="3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378</TotalTime>
  <Application>Yozo_Office</Application>
  <Pages>5</Pages>
  <Words>1796</Words>
  <Characters>1830</Characters>
  <Lines>394</Lines>
  <Paragraphs>294</Paragraphs>
  <CharactersWithSpaces>1996</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ldd</dc:creator>
  <cp:lastModifiedBy>李亚莅</cp:lastModifiedBy>
  <cp:revision>41</cp:revision>
  <dcterms:created xsi:type="dcterms:W3CDTF">2019-11-29T07:41:00Z</dcterms:created>
  <dcterms:modified xsi:type="dcterms:W3CDTF">2020-01-21T07:34:31Z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2052-10.8.2.6990</vt:lpwstr>
  </property>
</Properties>
</file>