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bookmarkStart w:id="0" w:name="_Hlk25540369"/>
      <w:r>
        <w:rPr>
          <w:rFonts w:ascii="方正小标宋_GBK" w:eastAsia="方正小标宋_GBK" w:cs="方正小标宋_GBK"/>
          <w:sz w:val="44"/>
          <w:szCs w:val="44"/>
        </w:rPr>
        <w:t>钦州海关2019年</w:t>
      </w:r>
      <w:r>
        <w:rPr>
          <w:rFonts w:ascii="方正小标宋_GBK" w:eastAsia="方正小标宋_GBK" w:cs="方正小标宋_GBK" w:hint="eastAsia"/>
          <w:sz w:val="44"/>
          <w:szCs w:val="44"/>
        </w:rPr>
        <w:t>政府信息公开工作年度报告</w:t>
      </w:r>
      <w:bookmarkEnd w:id="0"/>
    </w:p>
    <w:p>
      <w:pPr>
        <w:spacing w:line="560" w:lineRule="exact"/>
        <w:ind w:left="0" w:firstLineChars="200" w:firstLine="640"/>
        <w:rPr>
          <w:rFonts w:ascii="方正仿宋_GBK" w:eastAsia="方正仿宋_GBK" w:cs="方正仿宋_GBK"/>
          <w:sz w:val="32"/>
          <w:szCs w:val="32"/>
        </w:rPr>
      </w:pP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bCs/>
          <w:sz w:val="32"/>
          <w:szCs w:val="32"/>
          <w:shd w:val="clear" w:color="auto" w:fill="FFFFFF"/>
        </w:rPr>
        <w:t>根据《中华人民共和国政府信息公开条例》（国令711号）要求，现公布201</w:t>
      </w:r>
      <w:r>
        <w:rPr>
          <w:rFonts w:eastAsia="方正仿宋_GBK" w:hint="eastAsia"/>
          <w:bCs/>
          <w:sz w:val="32"/>
          <w:szCs w:val="32"/>
          <w:shd w:val="clear" w:color="auto" w:fill="FFFFFF"/>
        </w:rPr>
        <w:t>9</w:t>
      </w:r>
      <w:r>
        <w:rPr>
          <w:rFonts w:eastAsia="方正仿宋_GBK"/>
          <w:bCs/>
          <w:sz w:val="32"/>
          <w:szCs w:val="32"/>
          <w:shd w:val="clear" w:color="auto" w:fill="FFFFFF"/>
        </w:rPr>
        <w:t>年度</w:t>
      </w:r>
      <w:r>
        <w:rPr>
          <w:rFonts w:eastAsia="方正仿宋_GBK" w:hint="eastAsia"/>
          <w:bCs/>
          <w:sz w:val="32"/>
          <w:szCs w:val="32"/>
          <w:shd w:val="clear" w:color="auto" w:fill="FFFFFF"/>
        </w:rPr>
        <w:t>钦州海关</w:t>
      </w:r>
      <w:r>
        <w:rPr>
          <w:rFonts w:eastAsia="方正仿宋_GBK"/>
          <w:bCs/>
          <w:sz w:val="32"/>
          <w:szCs w:val="32"/>
          <w:shd w:val="clear" w:color="auto" w:fill="FFFFFF"/>
        </w:rPr>
        <w:t>政府信息公开年度报告。本报告由</w:t>
      </w:r>
      <w:r>
        <w:rPr>
          <w:rFonts w:eastAsia="方正仿宋_GBK" w:hint="eastAsia"/>
          <w:bCs/>
          <w:sz w:val="32"/>
          <w:szCs w:val="32"/>
          <w:shd w:val="clear" w:color="auto" w:fill="FFFFFF"/>
        </w:rPr>
        <w:t>总体情况</w:t>
      </w:r>
      <w:r>
        <w:rPr>
          <w:rFonts w:eastAsia="方正仿宋_GBK"/>
          <w:bCs/>
          <w:sz w:val="32"/>
          <w:szCs w:val="32"/>
          <w:shd w:val="clear" w:color="auto" w:fill="FFFFFF"/>
        </w:rPr>
        <w:t>、</w:t>
      </w:r>
      <w:r>
        <w:rPr>
          <w:rFonts w:eastAsia="方正仿宋_GBK" w:hint="eastAsia"/>
          <w:bCs/>
          <w:sz w:val="32"/>
          <w:szCs w:val="32"/>
          <w:shd w:val="clear" w:color="auto" w:fill="FFFFFF"/>
        </w:rPr>
        <w:t>主动公开政府信息情况</w:t>
      </w:r>
      <w:r>
        <w:rPr>
          <w:rFonts w:eastAsia="方正仿宋_GBK"/>
          <w:bCs/>
          <w:sz w:val="32"/>
          <w:szCs w:val="32"/>
          <w:shd w:val="clear" w:color="auto" w:fill="FFFFFF"/>
        </w:rPr>
        <w:t>、</w:t>
      </w:r>
      <w:r>
        <w:rPr>
          <w:rFonts w:eastAsia="方正仿宋_GBK" w:hint="eastAsia"/>
          <w:bCs/>
          <w:sz w:val="32"/>
          <w:szCs w:val="32"/>
          <w:shd w:val="clear" w:color="auto" w:fill="FFFFFF"/>
        </w:rPr>
        <w:t>收到和处理政府信息公开申请情况</w:t>
      </w:r>
      <w:r>
        <w:rPr>
          <w:rFonts w:eastAsia="方正仿宋_GBK"/>
          <w:bCs/>
          <w:sz w:val="32"/>
          <w:szCs w:val="32"/>
          <w:shd w:val="clear" w:color="auto" w:fill="FFFFFF"/>
        </w:rPr>
        <w:t>、</w:t>
      </w:r>
      <w:r>
        <w:rPr>
          <w:rFonts w:eastAsia="方正仿宋_GBK" w:hint="eastAsia"/>
          <w:bCs/>
          <w:sz w:val="32"/>
          <w:szCs w:val="32"/>
          <w:shd w:val="clear" w:color="auto" w:fill="FFFFFF"/>
        </w:rPr>
        <w:t>政府信息公开行政复议、行政诉讼情况、存在的主要问题及改进情况</w:t>
      </w:r>
      <w:r>
        <w:rPr>
          <w:rFonts w:eastAsia="方正仿宋_GBK"/>
          <w:bCs/>
          <w:sz w:val="32"/>
          <w:szCs w:val="32"/>
          <w:shd w:val="clear" w:color="auto" w:fill="FFFFFF"/>
        </w:rPr>
        <w:t>等内容。所列数据的统计期限自201</w:t>
      </w:r>
      <w:r>
        <w:rPr>
          <w:rFonts w:eastAsia="方正仿宋_GBK" w:hint="eastAsia"/>
          <w:bCs/>
          <w:sz w:val="32"/>
          <w:szCs w:val="32"/>
          <w:shd w:val="clear" w:color="auto" w:fill="FFFFFF"/>
        </w:rPr>
        <w:t>9</w:t>
      </w:r>
      <w:r>
        <w:rPr>
          <w:rFonts w:eastAsia="方正仿宋_GBK"/>
          <w:bCs/>
          <w:sz w:val="32"/>
          <w:szCs w:val="32"/>
          <w:shd w:val="clear" w:color="auto" w:fill="FFFFFF"/>
        </w:rPr>
        <w:t>年1月1日起至12月31日止。</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kern w:val="0"/>
          <w:sz w:val="32"/>
          <w:szCs w:val="32"/>
          <w:lang w:bidi="ar-SA"/>
        </w:rPr>
        <w:t>本年报主要内容包括：基本情况，主动公开政府信息情况，依申请公开政府信息和不予公开政府信息情况，政府信息收费减免情况，因政府信息公开申请行政复议、提起行政诉讼情况，主要问题和改进措施。</w:t>
      </w:r>
    </w:p>
    <w:p>
      <w:pPr>
        <w:pStyle w:val="55"/>
        <w:widowControl/>
        <w:shd w:val="clear" w:color="auto" w:fill="FFFFFF"/>
        <w:adjustRightInd w:val="0"/>
        <w:snapToGrid w:val="0"/>
        <w:spacing w:beforeAutospacing="0" w:afterAutospacing="0" w:line="560" w:lineRule="exact"/>
        <w:ind w:left="0"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一、总体情况</w:t>
      </w:r>
    </w:p>
    <w:p>
      <w:pPr>
        <w:pStyle w:val="55"/>
        <w:widowControl/>
        <w:shd w:val="clear" w:color="auto" w:fill="FFFFFF"/>
        <w:adjustRightInd w:val="0"/>
        <w:snapToGrid w:val="0"/>
        <w:spacing w:beforeAutospacing="0" w:afterAutospacing="0" w:line="560" w:lineRule="exact"/>
        <w:ind w:left="0" w:firstLineChars="200" w:firstLine="640"/>
        <w:jc w:val="both"/>
        <w:rPr>
          <w:rFonts w:ascii="方正楷体_GBK" w:eastAsia="方正楷体_GBK"/>
          <w:b/>
          <w:bCs/>
          <w:sz w:val="32"/>
          <w:szCs w:val="32"/>
          <w:shd w:val="clear" w:color="auto" w:fill="FFFFFF"/>
        </w:rPr>
      </w:pPr>
      <w:r>
        <w:rPr>
          <w:rFonts w:ascii="方正楷体_GBK" w:eastAsia="方正楷体_GBK" w:hint="eastAsia"/>
          <w:b/>
          <w:bCs/>
          <w:sz w:val="32"/>
          <w:szCs w:val="32"/>
          <w:shd w:val="clear" w:color="auto" w:fill="FFFFFF"/>
        </w:rPr>
        <w:t>（一）加强组织领导，完善相关配套制度。</w:t>
      </w:r>
    </w:p>
    <w:p>
      <w:pPr>
        <w:pStyle w:val="55"/>
        <w:shd w:val="clear" w:color="auto" w:fill="FFFFFF"/>
        <w:adjustRightInd w:val="0"/>
        <w:snapToGrid w:val="0"/>
        <w:spacing w:beforeAutospacing="0" w:afterAutospacing="0" w:line="560" w:lineRule="exact"/>
        <w:ind w:left="0" w:firstLineChars="200" w:firstLine="624"/>
        <w:jc w:val="both"/>
        <w:rPr>
          <w:rFonts w:eastAsia="方正仿宋_GBK"/>
          <w:bCs/>
          <w:sz w:val="32"/>
          <w:szCs w:val="32"/>
          <w:shd w:val="clear" w:color="auto" w:fill="FFFFFF"/>
        </w:rPr>
      </w:pPr>
      <w:r>
        <w:rPr>
          <w:rFonts w:eastAsia="方正仿宋_GBK"/>
          <w:snapToGrid w:val="0"/>
          <w:spacing w:val="-4"/>
          <w:kern w:val="0"/>
          <w:sz w:val="32"/>
          <w:szCs w:val="32"/>
          <w:bdr w:val="none" w:sz="0" w:space="0" w:color="auto"/>
          <w:lang w:bidi="ar-SA"/>
        </w:rPr>
        <w:t>始终坚持以公开为常态，不公开为例外原则，不断加强组织领导，充分发挥我关政务公开工作领导小组的统筹引领作用，</w:t>
      </w:r>
      <w:r>
        <w:rPr>
          <w:rFonts w:eastAsia="方正仿宋_GBK"/>
          <w:bCs/>
          <w:sz w:val="32"/>
          <w:szCs w:val="32"/>
          <w:shd w:val="clear" w:color="auto" w:fill="FFFFFF"/>
        </w:rPr>
        <w:t>领导小组由一把手任组长，下设办公室负责办理辖区政务公开工作具体事务。</w:t>
      </w:r>
      <w:r>
        <w:rPr>
          <w:rFonts w:eastAsia="方正仿宋_GBK"/>
          <w:snapToGrid w:val="0"/>
          <w:spacing w:val="-4"/>
          <w:kern w:val="0"/>
          <w:sz w:val="32"/>
          <w:szCs w:val="32"/>
          <w:bdr w:val="none" w:sz="0" w:space="0" w:color="auto"/>
          <w:lang w:bidi="ar-SA"/>
        </w:rPr>
        <w:t>建立各部门负责人为第一责任人的责任机制，</w:t>
      </w:r>
      <w:r>
        <w:rPr>
          <w:rFonts w:eastAsia="方正仿宋_GBK"/>
          <w:sz w:val="32"/>
          <w:szCs w:val="32"/>
          <w:bdr w:val="none" w:sz="0" w:space="0" w:color="auto"/>
        </w:rPr>
        <w:t>并对统计数据发布解读、舆情回应、平台建设和制度规范做了明确安排，</w:t>
      </w:r>
      <w:r>
        <w:rPr>
          <w:rFonts w:eastAsia="方正仿宋_GBK"/>
          <w:bCs/>
          <w:sz w:val="32"/>
          <w:szCs w:val="32"/>
          <w:shd w:val="clear" w:color="auto" w:fill="FFFFFF"/>
        </w:rPr>
        <w:t>及时研究学习上级下发的新时期《南宁海关政务公开实施办法》、《南宁海关政务公开考核办法》、《南宁海关政府信息公开工作规程》、《南宁海关政府信息公开保密规程》，保证政府信息公开工作规范化、标准化。</w:t>
      </w:r>
      <w:r>
        <w:rPr>
          <w:rFonts w:eastAsia="方正仿宋_GBK"/>
          <w:sz w:val="32"/>
          <w:szCs w:val="32"/>
          <w:bdr w:val="none" w:sz="0" w:space="0" w:color="auto"/>
        </w:rPr>
        <w:t>全面推进党中央、国务院关于政务公开工作的系列部署，紧紧围绕海关中心工作，统筹协调、突出重点，丰富内容、创新形式，强化解读、回应关切，注重时效、优化服务，健全机制、规范管理，不断提升我关政务公开的质量和实效，</w:t>
      </w:r>
      <w:r>
        <w:rPr>
          <w:rFonts w:eastAsia="方正仿宋_GBK"/>
          <w:bCs/>
          <w:sz w:val="32"/>
          <w:szCs w:val="32"/>
          <w:shd w:val="clear" w:color="auto" w:fill="FFFFFF"/>
        </w:rPr>
        <w:t>完善我</w:t>
      </w:r>
      <w:r>
        <w:rPr>
          <w:rFonts w:eastAsia="方正仿宋_GBK" w:hint="eastAsia"/>
          <w:bCs/>
          <w:sz w:val="32"/>
          <w:szCs w:val="32"/>
          <w:shd w:val="clear" w:color="auto" w:fill="FFFFFF"/>
        </w:rPr>
        <w:t>关</w:t>
      </w:r>
      <w:r>
        <w:rPr>
          <w:rFonts w:eastAsia="方正仿宋_GBK"/>
          <w:bCs/>
          <w:sz w:val="32"/>
          <w:szCs w:val="32"/>
          <w:shd w:val="clear" w:color="auto" w:fill="FFFFFF"/>
        </w:rPr>
        <w:t>政府信息公开指南中关于政务公开的监督部门、联系电话和联系地址，方便群众监督。</w:t>
      </w:r>
    </w:p>
    <w:p>
      <w:pPr>
        <w:pStyle w:val="56"/>
        <w:spacing w:line="560" w:lineRule="exact"/>
        <w:ind w:left="0" w:firstLineChars="200" w:firstLine="640"/>
        <w:rPr>
          <w:rFonts w:eastAsia="方正楷体_GBK"/>
          <w:b/>
          <w:bCs/>
          <w:sz w:val="32"/>
          <w:szCs w:val="32"/>
        </w:rPr>
      </w:pPr>
      <w:r>
        <w:rPr>
          <w:rFonts w:eastAsia="方正楷体_GBK"/>
          <w:b/>
          <w:bCs/>
          <w:sz w:val="32"/>
          <w:szCs w:val="22"/>
        </w:rPr>
        <w:t>（二）</w:t>
      </w:r>
      <w:r>
        <w:rPr>
          <w:rFonts w:eastAsia="方正楷体_GBK"/>
          <w:b/>
          <w:bCs/>
          <w:sz w:val="32"/>
          <w:szCs w:val="32"/>
        </w:rPr>
        <w:t>积极主动作为，全面提升政府信息公开质量实效。</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sz w:val="32"/>
          <w:szCs w:val="32"/>
        </w:rPr>
      </w:pPr>
      <w:r>
        <w:rPr>
          <w:rFonts w:eastAsia="方正仿宋_GBK"/>
          <w:b/>
          <w:bCs/>
          <w:sz w:val="32"/>
          <w:szCs w:val="32"/>
        </w:rPr>
        <w:t>一是</w:t>
      </w:r>
      <w:r>
        <w:rPr>
          <w:rFonts w:eastAsia="方正仿宋_GBK"/>
          <w:sz w:val="32"/>
          <w:szCs w:val="32"/>
        </w:rPr>
        <w:t>提高信息主动公开的全面性和及时性。坚持</w:t>
      </w:r>
      <w:r>
        <w:rPr>
          <w:rFonts w:eastAsia="方正仿宋_GBK" w:hint="eastAsia"/>
          <w:sz w:val="32"/>
          <w:szCs w:val="32"/>
        </w:rPr>
        <w:t>“</w:t>
      </w:r>
      <w:r>
        <w:rPr>
          <w:rFonts w:eastAsia="方正仿宋_GBK"/>
          <w:sz w:val="32"/>
          <w:szCs w:val="32"/>
        </w:rPr>
        <w:t>以公开为原则、不公开为例外</w:t>
      </w:r>
      <w:r>
        <w:rPr>
          <w:rFonts w:eastAsia="方正仿宋_GBK" w:hint="eastAsia"/>
          <w:sz w:val="32"/>
          <w:szCs w:val="32"/>
        </w:rPr>
        <w:t>”</w:t>
      </w:r>
      <w:r>
        <w:rPr>
          <w:rFonts w:eastAsia="方正仿宋_GBK"/>
          <w:sz w:val="32"/>
          <w:szCs w:val="32"/>
        </w:rPr>
        <w:t>的方针，除涉及国家秘密、工作秘密和个人隐私外的政务信息，都依法向社会公开，并着重抓好海关工作职能、政策法规、工作动态、业务流程等人民群众关心的重点内容的主动公开工作。2019年，我关公布海关总署和南宁海关的公告、最新政策232份，均能按照要求，在文到之日起或公告、通知发布后一个工作日内张贴公布。主动公开海关办事业务流程，在海关办事大厅设立业务咨询岗位，现场答疑解惑，设立政务公开电话和投诉意见箱并实行首问负责制；</w:t>
      </w:r>
      <w:r>
        <w:rPr>
          <w:rFonts w:eastAsia="方正仿宋_GBK"/>
          <w:bCs/>
          <w:sz w:val="32"/>
          <w:szCs w:val="32"/>
          <w:shd w:val="clear" w:color="auto" w:fill="FFFFFF"/>
        </w:rPr>
        <w:t>充分利用国家企业信用信息公示系统、</w:t>
      </w:r>
      <w:r>
        <w:rPr>
          <w:rFonts w:eastAsia="方正仿宋_GBK" w:hint="eastAsia"/>
          <w:bCs/>
          <w:sz w:val="32"/>
          <w:szCs w:val="32"/>
          <w:shd w:val="clear" w:color="auto" w:fill="FFFFFF"/>
        </w:rPr>
        <w:t>业务现场LED屏、</w:t>
      </w:r>
      <w:r>
        <w:rPr>
          <w:rFonts w:eastAsia="方正仿宋_GBK"/>
          <w:bCs/>
          <w:sz w:val="32"/>
          <w:szCs w:val="32"/>
          <w:shd w:val="clear" w:color="auto" w:fill="FFFFFF"/>
        </w:rPr>
        <w:t>办证大厅公告栏</w:t>
      </w:r>
      <w:r>
        <w:rPr>
          <w:rFonts w:eastAsia="方正仿宋_GBK" w:hint="eastAsia"/>
          <w:bCs/>
          <w:sz w:val="32"/>
          <w:szCs w:val="32"/>
          <w:shd w:val="clear" w:color="auto" w:fill="FFFFFF"/>
        </w:rPr>
        <w:t>、</w:t>
      </w:r>
      <w:r>
        <w:rPr>
          <w:rFonts w:eastAsia="方正仿宋_GBK"/>
          <w:bCs/>
          <w:sz w:val="32"/>
          <w:szCs w:val="32"/>
          <w:shd w:val="clear" w:color="auto" w:fill="FFFFFF"/>
        </w:rPr>
        <w:t>电子显示屏、机关LED显示屏、</w:t>
      </w:r>
      <w:r>
        <w:rPr>
          <w:rFonts w:eastAsia="方正仿宋_GBK" w:hint="eastAsia"/>
          <w:bCs/>
          <w:sz w:val="32"/>
          <w:szCs w:val="32"/>
          <w:shd w:val="clear" w:color="auto" w:fill="FFFFFF"/>
        </w:rPr>
        <w:t>微信群、QQ群</w:t>
      </w:r>
      <w:r>
        <w:rPr>
          <w:rFonts w:eastAsia="方正仿宋_GBK"/>
          <w:bCs/>
          <w:sz w:val="32"/>
          <w:szCs w:val="32"/>
          <w:shd w:val="clear" w:color="auto" w:fill="FFFFFF"/>
        </w:rPr>
        <w:t>等方式，畅通政府信息公</w:t>
      </w:r>
      <w:r>
        <w:rPr>
          <w:rFonts w:eastAsia="方正仿宋_GBK" w:hint="eastAsia"/>
          <w:bCs/>
          <w:sz w:val="32"/>
          <w:szCs w:val="32"/>
          <w:shd w:val="clear" w:color="auto" w:fill="FFFFFF"/>
        </w:rPr>
        <w:t>开</w:t>
      </w:r>
      <w:r>
        <w:rPr>
          <w:rFonts w:eastAsia="方正仿宋_GBK"/>
          <w:bCs/>
          <w:sz w:val="32"/>
          <w:szCs w:val="32"/>
          <w:shd w:val="clear" w:color="auto" w:fill="FFFFFF"/>
        </w:rPr>
        <w:t>渠道</w:t>
      </w:r>
      <w:r>
        <w:rPr>
          <w:rFonts w:eastAsia="方正仿宋_GBK"/>
          <w:sz w:val="32"/>
          <w:szCs w:val="32"/>
        </w:rPr>
        <w:t>。</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sz w:val="32"/>
          <w:szCs w:val="32"/>
        </w:rPr>
      </w:pPr>
      <w:r>
        <w:rPr>
          <w:rFonts w:eastAsia="方正仿宋_GBK"/>
          <w:b/>
          <w:bCs/>
          <w:sz w:val="32"/>
          <w:szCs w:val="32"/>
        </w:rPr>
        <w:t>二是</w:t>
      </w:r>
      <w:r>
        <w:rPr>
          <w:rFonts w:eastAsia="方正仿宋_GBK"/>
          <w:sz w:val="32"/>
          <w:szCs w:val="32"/>
        </w:rPr>
        <w:t>提高信息公开的准确性。为进一步确保公开信息的准确性，积极开展本关政务信息清查梳理工作，对刊发在各类新闻媒体上的本关新闻动态、业务数据，刊发前进行三级审核。</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
          <w:bCs/>
          <w:sz w:val="32"/>
          <w:szCs w:val="32"/>
          <w:shd w:val="clear" w:color="auto" w:fill="FFFFFF"/>
        </w:rPr>
      </w:pPr>
      <w:r>
        <w:rPr>
          <w:rFonts w:eastAsia="方正仿宋_GBK"/>
          <w:b/>
          <w:bCs/>
          <w:sz w:val="32"/>
          <w:szCs w:val="32"/>
        </w:rPr>
        <w:t>三是</w:t>
      </w:r>
      <w:r>
        <w:rPr>
          <w:rFonts w:eastAsia="方正仿宋_GBK"/>
          <w:sz w:val="32"/>
          <w:szCs w:val="32"/>
        </w:rPr>
        <w:t>提高信息依申请公开流程的规范性。我关</w:t>
      </w:r>
      <w:r>
        <w:rPr>
          <w:rFonts w:eastAsia="方正仿宋_GBK"/>
          <w:bCs/>
          <w:sz w:val="32"/>
          <w:szCs w:val="32"/>
          <w:shd w:val="clear" w:color="auto" w:fill="FFFFFF"/>
        </w:rPr>
        <w:t>印制政府信息公开指南并将指南内容对外公开，</w:t>
      </w:r>
      <w:r>
        <w:rPr>
          <w:rFonts w:eastAsia="方正仿宋_GBK"/>
          <w:sz w:val="32"/>
          <w:szCs w:val="32"/>
        </w:rPr>
        <w:t>明确规定公民、法人或者其他组织向本单位提出获取相关政府信息申请的提交方式方法、受理程序、答复程序、答复时限等，在规范依申请公开办理的同时更加方便获取信息。</w:t>
      </w:r>
    </w:p>
    <w:p>
      <w:pPr>
        <w:pStyle w:val="55"/>
        <w:widowControl/>
        <w:shd w:val="clear" w:color="auto" w:fill="FFFFFF"/>
        <w:adjustRightInd w:val="0"/>
        <w:snapToGrid w:val="0"/>
        <w:spacing w:beforeAutospacing="0" w:afterAutospacing="0" w:line="560" w:lineRule="exact"/>
        <w:ind w:left="0" w:firstLineChars="200" w:firstLine="640"/>
        <w:jc w:val="both"/>
        <w:rPr>
          <w:rFonts w:ascii="方正楷体_GBK" w:eastAsia="方正楷体_GBK"/>
          <w:b/>
          <w:bCs/>
          <w:sz w:val="32"/>
          <w:szCs w:val="32"/>
          <w:shd w:val="clear" w:color="auto" w:fill="FFFFFF"/>
        </w:rPr>
      </w:pPr>
      <w:r>
        <w:rPr>
          <w:rFonts w:ascii="方正楷体_GBK" w:eastAsia="方正楷体_GBK"/>
          <w:b/>
          <w:bCs/>
          <w:sz w:val="32"/>
          <w:szCs w:val="32"/>
          <w:shd w:val="clear" w:color="auto" w:fill="FFFFFF"/>
        </w:rPr>
        <w:t>（三）拓展公开渠道，提升服务满意度。</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b/>
          <w:bCs/>
          <w:sz w:val="32"/>
          <w:szCs w:val="32"/>
          <w:shd w:val="clear" w:color="auto" w:fill="FFFFFF"/>
        </w:rPr>
        <w:t>一是</w:t>
      </w:r>
      <w:r>
        <w:rPr>
          <w:rFonts w:eastAsia="方正仿宋_GBK"/>
          <w:bCs/>
          <w:sz w:val="32"/>
          <w:szCs w:val="32"/>
          <w:shd w:val="clear" w:color="auto" w:fill="FFFFFF"/>
        </w:rPr>
        <w:t>主动帮扶企业，深入开展调研走访活动</w:t>
      </w:r>
      <w:r>
        <w:rPr>
          <w:rFonts w:eastAsia="方正仿宋_GBK" w:hint="eastAsia"/>
          <w:bCs/>
          <w:sz w:val="32"/>
          <w:szCs w:val="32"/>
          <w:shd w:val="clear" w:color="auto" w:fill="FFFFFF"/>
        </w:rPr>
        <w:t>。</w:t>
      </w:r>
      <w:r>
        <w:rPr>
          <w:rFonts w:eastAsia="方正仿宋_GBK"/>
          <w:bCs/>
          <w:sz w:val="32"/>
          <w:szCs w:val="32"/>
          <w:shd w:val="clear" w:color="auto" w:fill="FFFFFF"/>
        </w:rPr>
        <w:t>惠民利民政策第一时间传达到企业，指导企业用足用好国家优惠政策，及时解决企业的通关过程中遇到实际困难和问题，2019年帮扶广西金桂浆纸成为新标准后广西首家通过海关高级认证的企业，主动服务企业，让质优的企业成为海关高级认证企业，并享受优惠措施。</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hint="eastAsia"/>
          <w:b/>
          <w:bCs/>
          <w:sz w:val="32"/>
          <w:szCs w:val="32"/>
          <w:shd w:val="clear" w:color="auto" w:fill="FFFFFF"/>
        </w:rPr>
        <w:t>二是</w:t>
      </w:r>
      <w:r>
        <w:rPr>
          <w:rFonts w:eastAsia="方正仿宋_GBK"/>
          <w:bCs/>
          <w:sz w:val="32"/>
          <w:szCs w:val="32"/>
          <w:shd w:val="clear" w:color="auto" w:fill="FFFFFF"/>
        </w:rPr>
        <w:t>印制行政审批服务指南供企业取阅。为帮助企业运用新系统在线办理行政审批事项，在办事大厅设置专门服务窗口答疑解惑，并根据行政审批事项的调整，重新梳理有权受理的行政审批事项，印制新的服务指南供企业取阅。2019</w:t>
      </w:r>
      <w:r>
        <w:rPr>
          <w:rFonts w:eastAsia="方正仿宋_GBK" w:hint="eastAsia"/>
          <w:bCs/>
          <w:sz w:val="32"/>
          <w:szCs w:val="32"/>
          <w:shd w:val="clear" w:color="auto" w:fill="FFFFFF"/>
        </w:rPr>
        <w:t>通过海关行政审批无纸化系统，成功为钦州市西霖木业办理了“出境竹木草制品生产加工企业注册登记”行政审批申请。这是</w:t>
      </w:r>
      <w:r>
        <w:rPr>
          <w:rFonts w:eastAsia="方正仿宋_GBK"/>
          <w:bCs/>
          <w:sz w:val="32"/>
          <w:szCs w:val="32"/>
          <w:shd w:val="clear" w:color="auto" w:fill="FFFFFF"/>
        </w:rPr>
        <w:t>南宁关</w:t>
      </w:r>
      <w:r>
        <w:rPr>
          <w:rFonts w:eastAsia="方正仿宋_GBK" w:hint="eastAsia"/>
          <w:bCs/>
          <w:sz w:val="32"/>
          <w:szCs w:val="32"/>
          <w:shd w:val="clear" w:color="auto" w:fill="FFFFFF"/>
        </w:rPr>
        <w:t>区出具的首张加盖海关电子印章的行政审批受理单，标志着南宁海关实现了行政审批全程电子化监管与无纸化办理</w:t>
      </w:r>
      <w:r>
        <w:rPr>
          <w:rFonts w:eastAsia="方正仿宋_GBK"/>
          <w:bCs/>
          <w:sz w:val="32"/>
          <w:szCs w:val="32"/>
          <w:shd w:val="clear" w:color="auto" w:fill="FFFFFF"/>
        </w:rPr>
        <w:t>。</w:t>
      </w:r>
    </w:p>
    <w:p>
      <w:pPr>
        <w:pStyle w:val="57"/>
        <w:spacing w:line="560" w:lineRule="exact"/>
        <w:ind w:firstLineChars="200" w:firstLine="640"/>
        <w:rPr>
          <w:rFonts w:eastAsia="方正仿宋_GBK"/>
          <w:snapToGrid/>
          <w:sz w:val="32"/>
          <w:szCs w:val="32"/>
          <w:vertAlign w:val="baseline"/>
        </w:rPr>
      </w:pPr>
      <w:r>
        <w:rPr>
          <w:rFonts w:eastAsia="方正仿宋_GBK" w:hint="eastAsia"/>
          <w:b/>
          <w:bCs/>
          <w:sz w:val="32"/>
          <w:szCs w:val="32"/>
          <w:shd w:val="clear" w:color="auto" w:fill="FFFFFF"/>
        </w:rPr>
        <w:t>三是</w:t>
      </w:r>
      <w:r>
        <w:rPr>
          <w:rFonts w:eastAsia="方正仿宋_GBK" w:hint="eastAsia"/>
          <w:bCs/>
          <w:sz w:val="32"/>
          <w:szCs w:val="32"/>
          <w:shd w:val="clear" w:color="auto" w:fill="FFFFFF"/>
        </w:rPr>
        <w:t>是利用报纸、电视台等，扩大宣传范围，营造良好的社会氛围</w:t>
      </w:r>
      <w:r>
        <w:rPr>
          <w:rFonts w:eastAsia="方正仿宋_GBK"/>
          <w:bCs/>
          <w:sz w:val="32"/>
          <w:szCs w:val="32"/>
          <w:shd w:val="clear" w:color="auto" w:fill="FFFFFF"/>
        </w:rPr>
        <w:t>，</w:t>
      </w:r>
      <w:r>
        <w:rPr>
          <w:rFonts w:eastAsia="方正仿宋_GBK"/>
          <w:sz w:val="32"/>
          <w:szCs w:val="32"/>
        </w:rPr>
        <w:t>据不完全统计，2019年我关全年共在</w:t>
      </w:r>
      <w:r>
        <w:rPr>
          <w:rFonts w:eastAsia="方正仿宋_GBK"/>
          <w:snapToGrid/>
          <w:sz w:val="32"/>
          <w:szCs w:val="32"/>
          <w:vertAlign w:val="baseline"/>
        </w:rPr>
        <w:t>在广西日报、钦州日报、北部湾晨报等纸质媒体上采用了30篇次；在广西卫视、钦州电视台新闻栏目中专题采访25次，</w:t>
      </w:r>
      <w:r>
        <w:rPr>
          <w:rFonts w:eastAsia="方正仿宋_GBK"/>
          <w:sz w:val="32"/>
          <w:szCs w:val="32"/>
        </w:rPr>
        <w:t>通过南宁海关互联网门户网站发布信息3条，</w:t>
      </w:r>
      <w:r>
        <w:rPr>
          <w:rFonts w:eastAsia="方正仿宋_GBK" w:hint="eastAsia"/>
          <w:bCs/>
          <w:sz w:val="32"/>
          <w:szCs w:val="32"/>
          <w:shd w:val="clear" w:color="auto" w:fill="FFFFFF"/>
        </w:rPr>
        <w:t>积极利用本地报纸、新闻媒体等宣传海关政策</w:t>
      </w:r>
      <w:r>
        <w:rPr>
          <w:rFonts w:eastAsia="方正仿宋_GBK"/>
          <w:snapToGrid/>
          <w:sz w:val="32"/>
          <w:szCs w:val="32"/>
          <w:vertAlign w:val="baseline"/>
        </w:rPr>
        <w:t>，使社会充分认识了我关的工作成效和口岸贸易情况，较好的树立了我关形象，取得了社会各界的好评。</w:t>
      </w:r>
    </w:p>
    <w:p>
      <w:pPr>
        <w:pStyle w:val="57"/>
        <w:spacing w:line="560" w:lineRule="exact"/>
        <w:ind w:firstLineChars="200" w:firstLine="640"/>
        <w:rPr>
          <w:rFonts w:eastAsia="方正仿宋_GBK"/>
          <w:bCs/>
          <w:sz w:val="32"/>
          <w:szCs w:val="32"/>
          <w:shd w:val="clear" w:color="auto" w:fill="FFFFFF"/>
        </w:rPr>
      </w:pPr>
      <w:r>
        <w:rPr>
          <w:rFonts w:eastAsia="方正仿宋_GBK" w:hint="eastAsia"/>
          <w:b/>
          <w:bCs/>
          <w:sz w:val="32"/>
          <w:szCs w:val="32"/>
          <w:shd w:val="clear" w:color="auto" w:fill="FFFFFF"/>
        </w:rPr>
        <w:t>四是</w:t>
      </w:r>
      <w:r>
        <w:rPr>
          <w:rFonts w:eastAsia="方正仿宋_GBK" w:hint="eastAsia"/>
          <w:bCs/>
          <w:sz w:val="32"/>
          <w:szCs w:val="32"/>
          <w:shd w:val="clear" w:color="auto" w:fill="FFFFFF"/>
        </w:rPr>
        <w:t>积极参与地方政府举办的政务公开、政策宣传板展览等活动，提高市民对海关工作的</w:t>
      </w:r>
      <w:r>
        <w:rPr>
          <w:rFonts w:eastAsia="方正仿宋_GBK"/>
          <w:bCs/>
          <w:sz w:val="32"/>
          <w:szCs w:val="32"/>
          <w:shd w:val="clear" w:color="auto" w:fill="FFFFFF"/>
        </w:rPr>
        <w:t>认识</w:t>
      </w:r>
      <w:r>
        <w:rPr>
          <w:rFonts w:eastAsia="方正仿宋_GBK" w:hint="eastAsia"/>
          <w:bCs/>
          <w:sz w:val="32"/>
          <w:szCs w:val="32"/>
          <w:shd w:val="clear" w:color="auto" w:fill="FFFFFF"/>
        </w:rPr>
        <w:t>。</w:t>
      </w:r>
      <w:r>
        <w:rPr>
          <w:rFonts w:eastAsia="方正仿宋_GBK"/>
          <w:bCs/>
          <w:sz w:val="32"/>
          <w:szCs w:val="32"/>
          <w:shd w:val="clear" w:color="auto" w:fill="FFFFFF"/>
        </w:rPr>
        <w:t>2019</w:t>
      </w:r>
      <w:r>
        <w:rPr>
          <w:rFonts w:eastAsia="方正仿宋_GBK" w:hint="eastAsia"/>
          <w:bCs/>
          <w:sz w:val="32"/>
          <w:szCs w:val="32"/>
          <w:shd w:val="clear" w:color="auto" w:fill="FFFFFF"/>
        </w:rPr>
        <w:t>年共开展集体宣讲</w:t>
      </w:r>
      <w:r>
        <w:rPr>
          <w:rFonts w:eastAsia="方正仿宋_GBK"/>
          <w:bCs/>
          <w:sz w:val="32"/>
          <w:szCs w:val="32"/>
          <w:shd w:val="clear" w:color="auto" w:fill="FFFFFF"/>
        </w:rPr>
        <w:t>8</w:t>
      </w:r>
      <w:r>
        <w:rPr>
          <w:rFonts w:eastAsia="方正仿宋_GBK" w:hint="eastAsia"/>
          <w:bCs/>
          <w:sz w:val="32"/>
          <w:szCs w:val="32"/>
          <w:shd w:val="clear" w:color="auto" w:fill="FFFFFF"/>
        </w:rPr>
        <w:t>次，领导带队赴企业走访调研送政策约</w:t>
      </w:r>
      <w:r>
        <w:rPr>
          <w:rFonts w:eastAsia="方正仿宋_GBK"/>
          <w:bCs/>
          <w:sz w:val="32"/>
          <w:szCs w:val="32"/>
          <w:shd w:val="clear" w:color="auto" w:fill="FFFFFF"/>
        </w:rPr>
        <w:t>35</w:t>
      </w:r>
      <w:r>
        <w:rPr>
          <w:rFonts w:eastAsia="方正仿宋_GBK" w:hint="eastAsia"/>
          <w:bCs/>
          <w:sz w:val="32"/>
          <w:szCs w:val="32"/>
          <w:shd w:val="clear" w:color="auto" w:fill="FFFFFF"/>
        </w:rPr>
        <w:t>次，</w:t>
      </w:r>
      <w:r>
        <w:rPr>
          <w:rFonts w:eastAsia="方正仿宋_GBK"/>
          <w:sz w:val="32"/>
          <w:szCs w:val="32"/>
        </w:rPr>
        <w:t>重大时间节点法治宣传工作，各类主题宣传教育活动共发放宪法读本、民法总则、知识产权宣传册、海关法宣传册等宣传资料400余册。</w:t>
      </w:r>
    </w:p>
    <w:p>
      <w:pPr>
        <w:pStyle w:val="55"/>
        <w:widowControl/>
        <w:shd w:val="clear" w:color="auto" w:fill="FFFFFF"/>
        <w:adjustRightInd w:val="0"/>
        <w:snapToGrid w:val="0"/>
        <w:spacing w:beforeAutospacing="0" w:afterAutospacing="0" w:line="560" w:lineRule="exact"/>
        <w:ind w:left="0" w:firstLineChars="200" w:firstLine="640"/>
        <w:jc w:val="both"/>
        <w:rPr>
          <w:rFonts w:ascii="方正楷体_GBK" w:eastAsia="方正楷体_GBK"/>
          <w:b/>
          <w:bCs/>
          <w:sz w:val="32"/>
          <w:szCs w:val="32"/>
          <w:shd w:val="clear" w:color="auto" w:fill="FFFFFF"/>
        </w:rPr>
      </w:pPr>
      <w:r>
        <w:rPr>
          <w:rFonts w:ascii="方正楷体_GBK" w:eastAsia="方正楷体_GBK" w:hint="eastAsia"/>
          <w:b/>
          <w:bCs/>
          <w:sz w:val="32"/>
          <w:szCs w:val="32"/>
          <w:shd w:val="clear" w:color="auto" w:fill="FFFFFF"/>
        </w:rPr>
        <w:t>（四）其他应说明事项</w:t>
      </w:r>
    </w:p>
    <w:p>
      <w:pPr>
        <w:pStyle w:val="55"/>
        <w:widowControl/>
        <w:shd w:val="clear" w:color="auto" w:fill="FFFFFF"/>
        <w:adjustRightInd w:val="0"/>
        <w:snapToGrid w:val="0"/>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hint="eastAsia"/>
          <w:bCs/>
          <w:kern w:val="2"/>
          <w:sz w:val="32"/>
          <w:szCs w:val="32"/>
          <w:shd w:val="clear" w:color="auto" w:fill="FFFFFF"/>
        </w:rPr>
        <w:t>年内，我关收到1次个人要求公开</w:t>
      </w:r>
      <w:r>
        <w:rPr>
          <w:rFonts w:eastAsia="方正仿宋_GBK" w:hint="eastAsia"/>
          <w:bCs/>
          <w:sz w:val="32"/>
          <w:szCs w:val="32"/>
          <w:shd w:val="clear" w:color="auto" w:fill="FFFFFF"/>
        </w:rPr>
        <w:t>政府信息的申请</w:t>
      </w:r>
      <w:r>
        <w:rPr>
          <w:rFonts w:eastAsia="方正仿宋_GBK"/>
          <w:bCs/>
          <w:sz w:val="32"/>
          <w:szCs w:val="32"/>
          <w:shd w:val="clear" w:color="auto" w:fill="FFFFFF"/>
        </w:rPr>
        <w:t>，要求我关公开编号119000000239469002的入境货物检验检疫证明，对应的检测报告、报关单、包装内说明书中外文标签备案、外包装中外文标签备案信息，我关已按程序答复；</w:t>
      </w:r>
      <w:r>
        <w:rPr>
          <w:rFonts w:eastAsia="方正仿宋_GBK" w:hint="eastAsia"/>
          <w:bCs/>
          <w:sz w:val="32"/>
          <w:szCs w:val="32"/>
          <w:shd w:val="clear" w:color="auto" w:fill="FFFFFF"/>
        </w:rPr>
        <w:t>无</w:t>
      </w:r>
      <w:r>
        <w:rPr>
          <w:rFonts w:eastAsia="方正仿宋_GBK"/>
          <w:bCs/>
          <w:sz w:val="32"/>
          <w:szCs w:val="32"/>
          <w:shd w:val="clear" w:color="auto" w:fill="FFFFFF"/>
        </w:rPr>
        <w:t>收费及减免的情况；</w:t>
      </w:r>
      <w:r>
        <w:rPr>
          <w:rFonts w:eastAsia="方正仿宋_GBK" w:hint="eastAsia"/>
          <w:bCs/>
          <w:sz w:val="32"/>
          <w:szCs w:val="32"/>
          <w:shd w:val="clear" w:color="auto" w:fill="FFFFFF"/>
        </w:rPr>
        <w:t>无</w:t>
      </w:r>
      <w:r>
        <w:rPr>
          <w:rFonts w:eastAsia="方正仿宋_GBK"/>
          <w:bCs/>
          <w:sz w:val="32"/>
          <w:szCs w:val="32"/>
          <w:shd w:val="clear" w:color="auto" w:fill="FFFFFF"/>
        </w:rPr>
        <w:t>因海关政府信息公开申请行政复议、提起行政诉讼的情况</w:t>
      </w:r>
      <w:r>
        <w:rPr>
          <w:rFonts w:eastAsia="方正仿宋_GBK" w:hint="eastAsia"/>
          <w:bCs/>
          <w:sz w:val="32"/>
          <w:szCs w:val="32"/>
          <w:shd w:val="clear" w:color="auto" w:fill="FFFFFF"/>
        </w:rPr>
        <w:t xml:space="preserve">。 </w:t>
      </w:r>
      <w:r>
        <w:rPr>
          <w:rFonts w:ascii="方正黑体_GBK" w:eastAsia="方正黑体_GBK" w:cs="楷体_GB2312" w:hint="eastAsia"/>
          <w:bCs/>
          <w:sz w:val="32"/>
          <w:szCs w:val="32"/>
          <w:shd w:val="clear" w:color="auto" w:fill="FFFFFF"/>
        </w:rPr>
        <w:t>二、主动公开政府信息情况</w:t>
      </w:r>
    </w:p>
    <w:tbl>
      <w:tblPr>
        <w:jc w:val="center"/>
        <w:tblW w:w="1029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113"/>
        <w:gridCol w:w="2183"/>
        <w:gridCol w:w="1551"/>
        <w:gridCol w:w="3446"/>
      </w:tblGrid>
      <w:tr>
        <w:trPr>
          <w:trHeight w:val="495"/>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line="560" w:lineRule="exact"/>
              <w:ind w:left="0" w:firstLineChars="200" w:firstLine="480"/>
              <w:jc w:val="center"/>
              <w:rPr>
                <w:rFonts w:eastAsia="方正仿宋_GBK"/>
                <w:bCs/>
                <w:kern w:val="0"/>
                <w:sz w:val="32"/>
                <w:szCs w:val="32"/>
                <w:shd w:val="clear" w:color="auto" w:fill="FFFFFF"/>
              </w:rPr>
            </w:pPr>
            <w:r>
              <w:rPr>
                <w:rFonts w:ascii="宋体" w:cs="宋体" w:hint="eastAsia"/>
                <w:bCs/>
                <w:kern w:val="0"/>
                <w:sz w:val="24"/>
                <w:szCs w:val="24"/>
              </w:rPr>
              <w:t>第二十条第（一）项</w:t>
            </w:r>
          </w:p>
        </w:tc>
      </w:tr>
      <w:tr>
        <w:trPr>
          <w:trHeight w:val="88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本年新</w:t>
              <w:br/>
            </w:r>
            <w:r>
              <w:rPr>
                <w:kern w:val="0"/>
                <w:sz w:val="24"/>
                <w:szCs w:val="24"/>
              </w:rP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本年新</w:t>
              <w:br/>
            </w:r>
            <w:r>
              <w:rPr>
                <w:kern w:val="0"/>
                <w:sz w:val="24"/>
                <w:szCs w:val="24"/>
              </w:rP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对外公开总数量</w:t>
            </w:r>
          </w:p>
        </w:tc>
      </w:tr>
      <w:tr>
        <w:trPr>
          <w:trHeight w:val="27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r>
      <w:tr>
        <w:trPr>
          <w:trHeight w:val="471"/>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r>
      <w:tr>
        <w:trPr>
          <w:trHeight w:val="480"/>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line="560" w:lineRule="exact"/>
              <w:ind w:left="0" w:firstLineChars="200" w:firstLine="480"/>
              <w:jc w:val="center"/>
              <w:rPr>
                <w:sz w:val="24"/>
                <w:szCs w:val="24"/>
              </w:rPr>
            </w:pPr>
            <w:r>
              <w:rPr>
                <w:rFonts w:ascii="宋体" w:cs="宋体" w:hint="eastAsia"/>
                <w:kern w:val="0"/>
                <w:sz w:val="24"/>
                <w:szCs w:val="24"/>
              </w:rPr>
              <w:t>第二十条第（五）项</w:t>
            </w:r>
          </w:p>
        </w:tc>
      </w:tr>
      <w:tr>
        <w:trPr>
          <w:trHeight w:val="436"/>
        </w:trPr>
        <w:tc>
          <w:tcPr>
            <w:tcW w:w="311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信息内容</w:t>
            </w:r>
          </w:p>
        </w:tc>
        <w:tc>
          <w:tcPr>
            <w:tcW w:w="218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上一年项目数量</w:t>
            </w:r>
          </w:p>
        </w:tc>
        <w:tc>
          <w:tcPr>
            <w:tcW w:w="1551"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本年减</w:t>
            </w:r>
          </w:p>
        </w:tc>
        <w:tc>
          <w:tcPr>
            <w:tcW w:w="3446"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处理决定数量</w:t>
            </w:r>
          </w:p>
        </w:tc>
      </w:tr>
      <w:tr>
        <w:trPr>
          <w:trHeight w:val="400"/>
        </w:trPr>
        <w:tc>
          <w:tcPr>
            <w:tcW w:w="311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行政许可</w:t>
            </w:r>
          </w:p>
        </w:tc>
        <w:tc>
          <w:tcPr>
            <w:tcW w:w="218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6</w:t>
            </w:r>
          </w:p>
        </w:tc>
        <w:tc>
          <w:tcPr>
            <w:tcW w:w="1551"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1</w:t>
            </w:r>
          </w:p>
        </w:tc>
        <w:tc>
          <w:tcPr>
            <w:tcW w:w="3446"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49</w:t>
            </w:r>
          </w:p>
        </w:tc>
      </w:tr>
      <w:tr>
        <w:trPr>
          <w:trHeight w:val="406"/>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line="560" w:lineRule="exact"/>
              <w:ind w:left="0" w:firstLineChars="200" w:firstLine="480"/>
              <w:jc w:val="center"/>
              <w:rPr>
                <w:sz w:val="24"/>
                <w:szCs w:val="24"/>
              </w:rPr>
            </w:pPr>
            <w:r>
              <w:rPr>
                <w:rFonts w:ascii="宋体" w:cs="宋体" w:hint="eastAsia"/>
                <w:kern w:val="0"/>
                <w:sz w:val="24"/>
                <w:szCs w:val="24"/>
              </w:rPr>
              <w:t>第二十条第（六）项</w:t>
            </w:r>
          </w:p>
        </w:tc>
      </w:tr>
      <w:tr>
        <w:trPr>
          <w:trHeight w:val="4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处理决定数量</w:t>
            </w:r>
          </w:p>
        </w:tc>
      </w:tr>
      <w:tr>
        <w:trPr>
          <w:trHeight w:val="43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2</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w:t>
            </w:r>
            <w:r>
              <w:rPr>
                <w:rFonts w:ascii="宋体" w:cs="宋体"/>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9</w:t>
            </w:r>
          </w:p>
        </w:tc>
      </w:tr>
      <w:tr>
        <w:trPr>
          <w:trHeight w:val="40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2</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kern w:val="0"/>
                <w:sz w:val="24"/>
                <w:szCs w:val="24"/>
              </w:rPr>
              <w:t>20</w:t>
            </w:r>
          </w:p>
        </w:tc>
      </w:tr>
      <w:tr>
        <w:trPr>
          <w:trHeight w:val="474"/>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line="560" w:lineRule="exact"/>
              <w:ind w:left="0" w:firstLineChars="200" w:firstLine="480"/>
              <w:jc w:val="center"/>
              <w:rPr>
                <w:sz w:val="24"/>
                <w:szCs w:val="24"/>
              </w:rPr>
            </w:pPr>
            <w:r>
              <w:rPr>
                <w:rFonts w:ascii="宋体" w:cs="宋体" w:hint="eastAsia"/>
                <w:kern w:val="0"/>
                <w:sz w:val="24"/>
                <w:szCs w:val="24"/>
              </w:rPr>
              <w:t>第二十条第（八）项</w:t>
            </w:r>
          </w:p>
        </w:tc>
      </w:tr>
      <w:tr>
        <w:trPr>
          <w:trHeight w:val="27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上一年项目数量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本年增/减</w:t>
            </w:r>
          </w:p>
        </w:tc>
      </w:tr>
      <w:tr>
        <w:trPr>
          <w:trHeight w:val="3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w:t>
            </w:r>
            <w:r>
              <w:rPr>
                <w:rFonts w:ascii="宋体" w:cs="宋体"/>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0 </w:t>
            </w:r>
          </w:p>
        </w:tc>
      </w:tr>
      <w:tr>
        <w:trPr>
          <w:trHeight w:val="47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line="560" w:lineRule="exact"/>
              <w:ind w:left="0" w:firstLineChars="200" w:firstLine="480"/>
              <w:jc w:val="center"/>
              <w:rPr>
                <w:sz w:val="24"/>
                <w:szCs w:val="24"/>
              </w:rPr>
            </w:pPr>
            <w:r>
              <w:rPr>
                <w:rFonts w:ascii="宋体" w:cs="宋体" w:hint="eastAsia"/>
                <w:kern w:val="0"/>
                <w:sz w:val="24"/>
                <w:szCs w:val="24"/>
              </w:rPr>
              <w:t>第二十条第（九）项</w:t>
            </w:r>
          </w:p>
        </w:tc>
      </w:tr>
      <w:tr>
        <w:trPr>
          <w:trHeight w:val="41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采购总金额</w:t>
            </w:r>
          </w:p>
        </w:tc>
      </w:tr>
      <w:tr>
        <w:trPr>
          <w:trHeight w:val="53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line="560" w:lineRule="exact"/>
              <w:ind w:left="0" w:firstLineChars="200" w:firstLine="480"/>
              <w:rPr>
                <w:sz w:val="24"/>
                <w:szCs w:val="24"/>
              </w:rPr>
            </w:pPr>
            <w:r>
              <w:rPr>
                <w:rFonts w:ascii="宋体" w:cs="宋体" w:hint="eastAsia"/>
                <w:kern w:val="0"/>
                <w:sz w:val="24"/>
                <w:szCs w:val="24"/>
              </w:rPr>
              <w:t>　</w:t>
            </w:r>
            <w:r>
              <w:rPr>
                <w:rFonts w:ascii="宋体" w:cs="宋体"/>
                <w:kern w:val="0"/>
                <w:sz w:val="24"/>
                <w:szCs w:val="24"/>
              </w:rPr>
              <w:t>2</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adjustRightInd w:val="0"/>
              <w:snapToGrid w:val="0"/>
              <w:spacing w:line="560" w:lineRule="exact"/>
              <w:ind w:left="0" w:firstLineChars="200" w:firstLine="480"/>
              <w:rPr>
                <w:rFonts w:ascii="宋体"/>
                <w:sz w:val="24"/>
                <w:szCs w:val="24"/>
              </w:rPr>
            </w:pPr>
            <w:r>
              <w:rPr>
                <w:rFonts w:ascii="宋体"/>
                <w:sz w:val="24"/>
                <w:szCs w:val="24"/>
              </w:rPr>
              <w:t>2203100元</w:t>
            </w:r>
          </w:p>
        </w:tc>
      </w:tr>
    </w:tbl>
    <w:p>
      <w:pPr>
        <w:pStyle w:val="55"/>
        <w:widowControl/>
        <w:shd w:val="clear" w:color="auto" w:fill="FFFFFF"/>
        <w:spacing w:beforeAutospacing="0" w:afterAutospacing="0" w:line="560" w:lineRule="exact"/>
        <w:ind w:left="0"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申请人情况</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rPr>
                <w:rFonts w:ascii="宋体"/>
                <w:sz w:val="24"/>
                <w:szCs w:val="24"/>
              </w:rP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总计</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rPr>
                <w:rFonts w:ascii="宋体"/>
                <w:sz w:val="24"/>
                <w:szCs w:val="24"/>
              </w:rP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00"/>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80"/>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80"/>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（六）其他处理</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line="560" w:lineRule="exact"/>
              <w:ind w:left="0" w:firstLineChars="200" w:firstLine="400"/>
            </w:pPr>
            <w:r>
              <w:rPr>
                <w:rFonts w:ascii="Calibri" w:cs="Calibri" w:hAnsi="Calibri"/>
                <w:kern w:val="0"/>
                <w:sz w:val="20"/>
                <w:szCs w:val="20"/>
              </w:rPr>
              <w:t> </w:t>
            </w:r>
            <w:r>
              <w:rPr>
                <w:rFonts w:ascii="Calibri" w:cs="Calibri" w:hAnsi="Calibri" w:hint="eastAsia"/>
                <w:kern w:val="0"/>
                <w:sz w:val="20"/>
                <w:szCs w:val="20"/>
              </w:rPr>
              <w:t>0</w:t>
            </w:r>
          </w:p>
        </w:tc>
      </w:tr>
    </w:tbl>
    <w:p>
      <w:pPr>
        <w:pStyle w:val="55"/>
        <w:widowControl/>
        <w:shd w:val="clear" w:color="auto" w:fill="FFFFFF"/>
        <w:spacing w:beforeAutospacing="0" w:afterAutospacing="0" w:line="560" w:lineRule="exact"/>
        <w:ind w:left="0"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rPr>
          <w:trHeight w:val="425"/>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行政诉讼</w:t>
            </w:r>
          </w:p>
        </w:tc>
      </w:tr>
      <w:tr>
        <w:trPr>
          <w:trHeight w:val="158"/>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kern w:val="0"/>
                <w:sz w:val="24"/>
                <w:szCs w:val="24"/>
              </w:rPr>
              <w:t>结</w:t>
            </w: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kern w:val="0"/>
                <w:sz w:val="24"/>
                <w:szCs w:val="24"/>
              </w:rPr>
              <w:t>结</w:t>
            </w: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kern w:val="0"/>
                <w:sz w:val="24"/>
                <w:szCs w:val="24"/>
              </w:rPr>
              <w:t>其</w:t>
            </w: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尚</w:t>
            </w:r>
            <w:r>
              <w:rPr>
                <w:rFonts w:ascii="宋体" w:cs="宋体" w:hint="eastAsia"/>
                <w:color w:val="auto"/>
                <w:kern w:val="0"/>
                <w:sz w:val="24"/>
                <w:szCs w:val="24"/>
              </w:rPr>
              <w:t>尚</w:t>
            </w:r>
            <w:r>
              <w:rPr>
                <w:rFonts w:ascii="宋体" w:cs="宋体" w:hint="eastAsia"/>
                <w:kern w:val="0"/>
                <w:sz w:val="24"/>
                <w:szCs w:val="24"/>
              </w:rPr>
              <w:t>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结</w:t>
            </w:r>
            <w:r>
              <w:rPr>
                <w:rFonts w:ascii="宋体" w:cs="宋体"/>
                <w:kern w:val="0"/>
                <w:sz w:val="24"/>
                <w:szCs w:val="24"/>
              </w:rPr>
              <w:t>结</w:t>
            </w:r>
            <w:r>
              <w:rPr>
                <w:rFonts w:ascii="宋体" w:cs="宋体" w:hint="eastAsia"/>
                <w:kern w:val="0"/>
                <w:sz w:val="24"/>
                <w:szCs w:val="24"/>
              </w:rPr>
              <w:t>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结</w:t>
            </w:r>
            <w:r>
              <w:rPr>
                <w:rFonts w:ascii="宋体" w:cs="宋体"/>
                <w:kern w:val="0"/>
                <w:sz w:val="24"/>
                <w:szCs w:val="24"/>
              </w:rPr>
              <w:t>结</w:t>
            </w:r>
            <w:r>
              <w:rPr>
                <w:rFonts w:ascii="宋体" w:cs="宋体" w:hint="eastAsia"/>
                <w:kern w:val="0"/>
                <w:sz w:val="24"/>
                <w:szCs w:val="24"/>
              </w:rPr>
              <w:t>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其</w:t>
            </w:r>
            <w:r>
              <w:rPr>
                <w:rFonts w:ascii="宋体" w:cs="宋体"/>
                <w:kern w:val="0"/>
                <w:sz w:val="24"/>
                <w:szCs w:val="24"/>
              </w:rPr>
              <w:t>其</w:t>
            </w:r>
            <w:r>
              <w:rPr>
                <w:rFonts w:ascii="宋体" w:cs="宋体" w:hint="eastAsia"/>
                <w:kern w:val="0"/>
                <w:sz w:val="24"/>
                <w:szCs w:val="24"/>
              </w:rPr>
              <w:t>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尚</w:t>
            </w:r>
            <w:r>
              <w:rPr>
                <w:rFonts w:ascii="宋体" w:cs="宋体" w:hint="eastAsia"/>
                <w:color w:val="auto"/>
                <w:kern w:val="0"/>
                <w:sz w:val="24"/>
                <w:szCs w:val="24"/>
              </w:rPr>
              <w:t>尚</w:t>
            </w:r>
            <w:r>
              <w:rPr>
                <w:rFonts w:ascii="宋体" w:cs="宋体" w:hint="eastAsia"/>
                <w:kern w:val="0"/>
                <w:sz w:val="24"/>
                <w:szCs w:val="24"/>
              </w:rPr>
              <w:t>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结</w:t>
            </w:r>
            <w:r>
              <w:rPr>
                <w:rFonts w:ascii="宋体" w:cs="宋体"/>
                <w:kern w:val="0"/>
                <w:sz w:val="24"/>
                <w:szCs w:val="24"/>
              </w:rPr>
              <w:t>结</w:t>
            </w:r>
            <w:r>
              <w:rPr>
                <w:rFonts w:ascii="宋体" w:cs="宋体" w:hint="eastAsia"/>
                <w:kern w:val="0"/>
                <w:sz w:val="24"/>
                <w:szCs w:val="24"/>
              </w:rPr>
              <w:t>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结</w:t>
            </w:r>
            <w:r>
              <w:rPr>
                <w:rFonts w:ascii="宋体" w:cs="宋体"/>
                <w:kern w:val="0"/>
                <w:sz w:val="24"/>
                <w:szCs w:val="24"/>
              </w:rPr>
              <w:t>结</w:t>
            </w:r>
            <w:r>
              <w:rPr>
                <w:rFonts w:ascii="宋体" w:cs="宋体" w:hint="eastAsia"/>
                <w:kern w:val="0"/>
                <w:sz w:val="24"/>
                <w:szCs w:val="24"/>
              </w:rPr>
              <w:t>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其</w:t>
            </w:r>
            <w:r>
              <w:rPr>
                <w:rFonts w:ascii="宋体" w:cs="宋体"/>
                <w:kern w:val="0"/>
                <w:sz w:val="24"/>
                <w:szCs w:val="24"/>
              </w:rPr>
              <w:t>其</w:t>
            </w:r>
            <w:r>
              <w:rPr>
                <w:rFonts w:ascii="宋体" w:cs="宋体" w:hint="eastAsia"/>
                <w:kern w:val="0"/>
                <w:sz w:val="24"/>
                <w:szCs w:val="24"/>
              </w:rPr>
              <w:t>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尚</w:t>
            </w:r>
            <w:r>
              <w:rPr>
                <w:rFonts w:ascii="宋体" w:cs="宋体" w:hint="eastAsia"/>
                <w:color w:val="auto"/>
                <w:kern w:val="0"/>
                <w:sz w:val="24"/>
                <w:szCs w:val="24"/>
              </w:rPr>
              <w:t>尚</w:t>
            </w:r>
            <w:r>
              <w:rPr>
                <w:rFonts w:ascii="宋体" w:cs="宋体" w:hint="eastAsia"/>
                <w:kern w:val="0"/>
                <w:sz w:val="24"/>
                <w:szCs w:val="24"/>
              </w:rPr>
              <w:t>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总</w:t>
            </w:r>
            <w:r>
              <w:rPr>
                <w:rFonts w:ascii="宋体" w:cs="宋体"/>
                <w:kern w:val="0"/>
                <w:sz w:val="24"/>
                <w:szCs w:val="24"/>
              </w:rPr>
              <w:t>总</w:t>
            </w:r>
            <w:r>
              <w:rPr>
                <w:rFonts w:ascii="宋体" w:cs="宋体" w:hint="eastAsia"/>
                <w:kern w:val="0"/>
                <w:sz w:val="24"/>
                <w:szCs w:val="24"/>
              </w:rPr>
              <w:t>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0 </w:t>
            </w:r>
            <w:r>
              <w:rPr>
                <w:rFonts w:ascii="宋体" w:cs="宋体"/>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line="560" w:lineRule="exact"/>
              <w:ind w:left="0" w:firstLineChars="200" w:firstLine="480"/>
              <w:rPr>
                <w:sz w:val="24"/>
                <w:szCs w:val="24"/>
              </w:rPr>
            </w:pPr>
            <w:r>
              <w:rPr>
                <w:rFonts w:ascii="宋体" w:cs="宋体" w:hint="eastAsia"/>
                <w:kern w:val="0"/>
                <w:sz w:val="24"/>
                <w:szCs w:val="24"/>
              </w:rPr>
              <w:t>0 </w:t>
            </w:r>
            <w:r>
              <w:rPr>
                <w:rFonts w:ascii="宋体" w:cs="宋体"/>
                <w:kern w:val="0"/>
                <w:sz w:val="24"/>
                <w:szCs w:val="24"/>
              </w:rPr>
              <w:t>0</w:t>
            </w:r>
          </w:p>
        </w:tc>
      </w:tr>
    </w:tbl>
    <w:p>
      <w:pPr>
        <w:pStyle w:val="55"/>
        <w:widowControl/>
        <w:shd w:val="clear" w:color="auto" w:fill="FFFFFF"/>
        <w:spacing w:beforeAutospacing="0" w:afterAutospacing="0" w:line="560" w:lineRule="exact"/>
        <w:ind w:left="0"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55"/>
        <w:widowControl/>
        <w:shd w:val="clear" w:color="auto" w:fill="FFFFFF"/>
        <w:spacing w:beforeAutospacing="0" w:afterAutospacing="0" w:line="560" w:lineRule="exact"/>
        <w:ind w:left="0" w:firstLineChars="200" w:firstLine="640"/>
        <w:jc w:val="both"/>
        <w:rPr>
          <w:rFonts w:eastAsia="方正仿宋_GBK"/>
          <w:bCs/>
          <w:sz w:val="32"/>
          <w:szCs w:val="32"/>
          <w:shd w:val="clear" w:color="auto" w:fill="FFFFFF"/>
        </w:rPr>
      </w:pPr>
      <w:r>
        <w:rPr>
          <w:rFonts w:eastAsia="方正仿宋_GBK" w:hint="eastAsia"/>
          <w:bCs/>
          <w:sz w:val="32"/>
          <w:szCs w:val="32"/>
          <w:shd w:val="clear" w:color="auto" w:fill="FFFFFF"/>
        </w:rPr>
        <w:t>2019年我关政府信息公开工作还有以下问题：一是</w:t>
      </w:r>
      <w:r>
        <w:rPr>
          <w:rFonts w:eastAsia="方正仿宋_GBK"/>
          <w:bCs/>
          <w:sz w:val="32"/>
          <w:szCs w:val="32"/>
          <w:shd w:val="clear" w:color="auto" w:fill="FFFFFF"/>
        </w:rPr>
        <w:t>政府信息公开渠道不够丰富</w:t>
      </w:r>
      <w:r>
        <w:rPr>
          <w:rFonts w:eastAsia="方正仿宋_GBK" w:hint="eastAsia"/>
          <w:bCs/>
          <w:sz w:val="32"/>
          <w:szCs w:val="32"/>
          <w:shd w:val="clear" w:color="auto" w:fill="FFFFFF"/>
        </w:rPr>
        <w:t>；二是</w:t>
      </w:r>
      <w:r>
        <w:rPr>
          <w:rFonts w:eastAsia="方正仿宋_GBK"/>
          <w:bCs/>
          <w:sz w:val="32"/>
          <w:szCs w:val="32"/>
          <w:shd w:val="clear" w:color="auto" w:fill="FFFFFF"/>
        </w:rPr>
        <w:t>申请人对信息公开申请程序不了解，需要加强对政府信息公开申请程序的宣传；</w:t>
      </w:r>
      <w:r>
        <w:rPr>
          <w:rFonts w:eastAsia="方正仿宋_GBK" w:hint="eastAsia"/>
          <w:bCs/>
          <w:sz w:val="32"/>
          <w:szCs w:val="32"/>
          <w:shd w:val="clear" w:color="auto" w:fill="FFFFFF"/>
        </w:rPr>
        <w:t>三是</w:t>
      </w:r>
      <w:r>
        <w:rPr>
          <w:rFonts w:eastAsia="方正仿宋_GBK"/>
          <w:bCs/>
          <w:sz w:val="32"/>
          <w:szCs w:val="32"/>
          <w:shd w:val="clear" w:color="auto" w:fill="FFFFFF"/>
        </w:rPr>
        <w:t>部分工作人员答复申请事项不规范，也未形成完整记录，需要进一步规范信息公开档案。</w:t>
      </w:r>
    </w:p>
    <w:p>
      <w:pPr>
        <w:pStyle w:val="58"/>
        <w:spacing w:line="560" w:lineRule="exact"/>
        <w:ind w:firstLineChars="200" w:firstLine="624"/>
        <w:rPr>
          <w:rFonts w:eastAsia="方正楷体_GBK"/>
          <w:b/>
          <w:bCs/>
          <w:snapToGrid w:val="0"/>
          <w:spacing w:val="-4"/>
          <w:kern w:val="0"/>
          <w:sz w:val="32"/>
          <w:szCs w:val="32"/>
          <w:bdr w:val="none" w:sz="0" w:space="0" w:color="auto"/>
          <w:lang w:bidi="ar-SA"/>
        </w:rPr>
      </w:pPr>
      <w:r>
        <w:rPr>
          <w:rFonts w:eastAsia="方正楷体_GBK"/>
          <w:b/>
          <w:bCs/>
          <w:snapToGrid w:val="0"/>
          <w:spacing w:val="-4"/>
          <w:kern w:val="0"/>
          <w:sz w:val="32"/>
          <w:szCs w:val="32"/>
          <w:bdr w:val="none" w:sz="0" w:space="0" w:color="auto"/>
          <w:lang w:bidi="ar-SA"/>
        </w:rPr>
        <w:t>（一）继续梳理流程，不断完善和规范制度。</w:t>
      </w:r>
    </w:p>
    <w:p>
      <w:pPr>
        <w:pStyle w:val="58"/>
        <w:spacing w:line="560" w:lineRule="exact"/>
        <w:ind w:firstLineChars="200" w:firstLine="624"/>
        <w:rPr>
          <w:rFonts w:eastAsia="方正仿宋_GBK"/>
          <w:snapToGrid w:val="0"/>
          <w:spacing w:val="-4"/>
          <w:kern w:val="0"/>
          <w:sz w:val="32"/>
          <w:szCs w:val="32"/>
          <w:bdr w:val="none" w:sz="0" w:space="0" w:color="auto"/>
          <w:lang w:bidi="ar-SA"/>
        </w:rPr>
      </w:pPr>
      <w:r>
        <w:rPr>
          <w:rFonts w:eastAsia="方正仿宋_GBK"/>
          <w:snapToGrid w:val="0"/>
          <w:spacing w:val="-4"/>
          <w:kern w:val="0"/>
          <w:sz w:val="32"/>
          <w:szCs w:val="32"/>
          <w:bdr w:val="none" w:sz="0" w:space="0" w:color="auto"/>
          <w:lang w:bidi="ar-SA"/>
        </w:rPr>
        <w:t>一是制定《钦州海关政务公开工作实施方案》，结合新形势、新要求，建立健全信息公开各项制度，严格执行信息公开制度，继续完善规范信息发布程序，确定信息公开责任人，及时更新政务公开信息。二是严格落实政府信息公开属性认定机制，在发文环节中，进一步规范公文公开范围设置，加强保密审查力度，加强跟踪督办，进一步完善政府信息公开管理。</w:t>
      </w:r>
    </w:p>
    <w:p>
      <w:pPr>
        <w:pStyle w:val="59"/>
        <w:spacing w:line="560" w:lineRule="exact"/>
        <w:ind w:firstLineChars="200" w:firstLine="640"/>
        <w:rPr>
          <w:rFonts w:eastAsia="方正楷体_GBK"/>
          <w:b/>
          <w:bCs/>
          <w:sz w:val="32"/>
          <w:szCs w:val="22"/>
        </w:rPr>
      </w:pPr>
      <w:r>
        <w:rPr>
          <w:rFonts w:eastAsia="方正仿宋_GBK"/>
          <w:sz w:val="32"/>
          <w:szCs w:val="32"/>
        </w:rPr>
        <w:t> </w:t>
      </w:r>
      <w:r>
        <w:rPr>
          <w:rFonts w:eastAsia="方正楷体_GBK"/>
          <w:b/>
          <w:bCs/>
          <w:sz w:val="32"/>
          <w:szCs w:val="22"/>
        </w:rPr>
        <w:t>（二）加强队伍建设，提高思想认识。</w:t>
      </w:r>
    </w:p>
    <w:p>
      <w:pPr>
        <w:pStyle w:val="59"/>
        <w:spacing w:line="560" w:lineRule="exact"/>
        <w:ind w:firstLineChars="200" w:firstLine="640"/>
        <w:rPr>
          <w:rFonts w:eastAsia="方正楷体_GBK"/>
          <w:b/>
          <w:bCs/>
          <w:sz w:val="32"/>
          <w:szCs w:val="22"/>
        </w:rPr>
      </w:pPr>
      <w:r>
        <w:rPr>
          <w:rFonts w:eastAsia="方正仿宋_GBK"/>
          <w:sz w:val="32"/>
          <w:szCs w:val="32"/>
          <w:bdr w:val="none" w:sz="0" w:space="0" w:color="auto"/>
        </w:rPr>
        <w:t>认真贯彻落实</w:t>
      </w:r>
      <w:r>
        <w:rPr>
          <w:rFonts w:eastAsia="方正仿宋_GBK"/>
          <w:sz w:val="32"/>
          <w:szCs w:val="32"/>
        </w:rPr>
        <w:t>《海关总署关于印发&lt;关于全面推进政务公开工作的意见&gt;实施办法的通知》（署厅发〔2016〕177号）精神以及总关《办公室关于做好2018年海关政府信息公开年度报告编制及公布工作的通知》（办公室便函〔2019〕9号）</w:t>
      </w:r>
      <w:r>
        <w:rPr>
          <w:rFonts w:eastAsia="方正仿宋_GBK"/>
          <w:sz w:val="32"/>
          <w:szCs w:val="32"/>
          <w:bdr w:val="none" w:sz="0" w:space="0" w:color="auto"/>
        </w:rPr>
        <w:t>等文件精神，</w:t>
      </w:r>
      <w:r>
        <w:rPr>
          <w:rFonts w:eastAsia="方正仿宋_GBK"/>
          <w:sz w:val="32"/>
          <w:szCs w:val="32"/>
        </w:rPr>
        <w:t>建立</w:t>
      </w:r>
      <w:r>
        <w:rPr>
          <w:rFonts w:eastAsia="方正仿宋_GBK" w:hint="eastAsia"/>
          <w:sz w:val="32"/>
          <w:szCs w:val="32"/>
        </w:rPr>
        <w:t>“</w:t>
      </w:r>
      <w:r>
        <w:rPr>
          <w:rFonts w:eastAsia="方正仿宋_GBK"/>
          <w:sz w:val="32"/>
          <w:szCs w:val="32"/>
        </w:rPr>
        <w:t>信息公开</w:t>
      </w:r>
      <w:r>
        <w:rPr>
          <w:rFonts w:eastAsia="方正仿宋_GBK" w:hint="eastAsia"/>
          <w:sz w:val="32"/>
          <w:szCs w:val="32"/>
        </w:rPr>
        <w:t>”“</w:t>
      </w:r>
      <w:r>
        <w:rPr>
          <w:rFonts w:eastAsia="方正仿宋_GBK"/>
          <w:sz w:val="32"/>
          <w:szCs w:val="32"/>
        </w:rPr>
        <w:t>新闻宣传和舆情应对</w:t>
      </w:r>
      <w:r>
        <w:rPr>
          <w:rFonts w:eastAsia="方正仿宋_GBK" w:hint="eastAsia"/>
          <w:sz w:val="32"/>
          <w:szCs w:val="32"/>
        </w:rPr>
        <w:t>”</w:t>
      </w:r>
      <w:r>
        <w:rPr>
          <w:rFonts w:eastAsia="方正仿宋_GBK"/>
          <w:sz w:val="32"/>
          <w:szCs w:val="32"/>
        </w:rPr>
        <w:t>的政府信息公开队伍，派员参加总关和地方的各种培训研讨活动，并积极组织我关办公室人员对</w:t>
      </w:r>
      <w:r>
        <w:rPr>
          <w:rFonts w:eastAsia="方正仿宋_GBK"/>
          <w:sz w:val="32"/>
          <w:szCs w:val="32"/>
          <w:bdr w:val="none" w:sz="0" w:space="0" w:color="auto"/>
        </w:rPr>
        <w:t>《条例》、《办法》</w:t>
      </w:r>
      <w:r>
        <w:rPr>
          <w:rFonts w:eastAsia="方正仿宋_GBK"/>
          <w:sz w:val="32"/>
          <w:szCs w:val="32"/>
        </w:rPr>
        <w:t>等制度</w:t>
      </w:r>
      <w:r>
        <w:rPr>
          <w:rFonts w:eastAsia="方正仿宋_GBK"/>
          <w:sz w:val="32"/>
          <w:szCs w:val="32"/>
          <w:bdr w:val="none" w:sz="0" w:space="0" w:color="auto"/>
        </w:rPr>
        <w:t>进行细致学习、逐条解读</w:t>
      </w:r>
      <w:r>
        <w:rPr>
          <w:rFonts w:eastAsia="方正仿宋_GBK"/>
          <w:sz w:val="32"/>
          <w:szCs w:val="32"/>
        </w:rPr>
        <w:t>，增强办公室人员的公开意识，提高信息公开、政策解读、政务舆情回应能力。</w:t>
      </w:r>
    </w:p>
    <w:p>
      <w:pPr>
        <w:pStyle w:val="58"/>
        <w:spacing w:line="560" w:lineRule="exact"/>
        <w:ind w:firstLineChars="200" w:firstLine="624"/>
        <w:rPr>
          <w:rFonts w:eastAsia="方正楷体_GBK"/>
          <w:b/>
          <w:bCs/>
          <w:snapToGrid w:val="0"/>
          <w:spacing w:val="-4"/>
          <w:kern w:val="0"/>
          <w:sz w:val="32"/>
          <w:szCs w:val="32"/>
          <w:bdr w:val="none" w:sz="0" w:space="0" w:color="auto"/>
          <w:lang w:bidi="ar-SA"/>
        </w:rPr>
      </w:pPr>
      <w:r>
        <w:rPr>
          <w:rFonts w:eastAsia="方正楷体_GBK"/>
          <w:b/>
          <w:bCs/>
          <w:snapToGrid w:val="0"/>
          <w:spacing w:val="-4"/>
          <w:kern w:val="0"/>
          <w:sz w:val="32"/>
          <w:szCs w:val="32"/>
          <w:bdr w:val="none" w:sz="0" w:space="0" w:color="auto"/>
          <w:lang w:bidi="ar-SA"/>
        </w:rPr>
        <w:t>（三）拓展公开渠道，不断丰富政府信息公开展现形式。</w:t>
      </w:r>
    </w:p>
    <w:p>
      <w:pPr>
        <w:pStyle w:val="55"/>
        <w:widowControl/>
        <w:shd w:val="clear" w:color="auto" w:fill="FFFFFF"/>
        <w:spacing w:beforeAutospacing="0" w:afterAutospacing="0" w:line="560" w:lineRule="exact"/>
        <w:ind w:left="0" w:firstLineChars="200" w:firstLine="624"/>
        <w:jc w:val="both"/>
        <w:rPr>
          <w:rFonts w:eastAsia="方正仿宋_GBK"/>
          <w:bCs/>
          <w:sz w:val="32"/>
          <w:szCs w:val="32"/>
          <w:shd w:val="clear" w:color="auto" w:fill="FFFFFF"/>
        </w:rPr>
      </w:pPr>
      <w:r>
        <w:rPr>
          <w:rFonts w:eastAsia="方正仿宋_GBK"/>
          <w:snapToGrid w:val="0"/>
          <w:spacing w:val="-4"/>
          <w:kern w:val="0"/>
          <w:sz w:val="32"/>
          <w:szCs w:val="32"/>
          <w:bdr w:val="none" w:sz="0" w:space="0" w:color="auto"/>
          <w:lang w:bidi="ar-SA"/>
        </w:rPr>
        <w:t>一是利用机关办公大楼政务公开宣传栏、电子显示屏以及各业务现场展台、宣传海报等公开重要政府信息，传达中央、总署、总关等各级领导重要讲话精神，展示贯彻落实措施等内容。二是利用新闻媒体公开相</w:t>
      </w:r>
      <w:r>
        <w:rPr>
          <w:rFonts w:eastAsia="方正仿宋_GBK"/>
          <w:snapToGrid w:val="0"/>
          <w:spacing w:val="-4"/>
          <w:kern w:val="0"/>
          <w:sz w:val="32"/>
          <w:szCs w:val="32"/>
          <w:bdr w:val="none" w:sz="0" w:space="0" w:color="auto"/>
          <w:lang w:bidi="ar-SA"/>
        </w:rPr>
        <w:t>关</w:t>
      </w:r>
      <w:r>
        <w:rPr>
          <w:rFonts w:eastAsia="方正仿宋_GBK"/>
          <w:snapToGrid w:val="0"/>
          <w:spacing w:val="-4"/>
          <w:kern w:val="0"/>
          <w:sz w:val="32"/>
          <w:szCs w:val="32"/>
          <w:bdr w:val="none" w:sz="0" w:space="0" w:color="auto"/>
          <w:lang w:bidi="ar-SA"/>
        </w:rPr>
        <w:t>政府信息。通过钦州电视台、</w:t>
      </w:r>
      <w:r>
        <w:rPr>
          <w:rFonts w:eastAsia="方正仿宋_GBK"/>
          <w:snapToGrid/>
          <w:sz w:val="32"/>
          <w:szCs w:val="32"/>
          <w:vertAlign w:val="baseline"/>
        </w:rPr>
        <w:t>广西日报、钦州日报、北部湾晨报</w:t>
      </w:r>
      <w:r>
        <w:rPr>
          <w:rFonts w:eastAsia="方正仿宋_GBK"/>
          <w:snapToGrid w:val="0"/>
          <w:spacing w:val="-4"/>
          <w:kern w:val="0"/>
          <w:sz w:val="32"/>
          <w:szCs w:val="32"/>
          <w:bdr w:val="none" w:sz="0" w:space="0" w:color="auto"/>
          <w:lang w:bidi="ar-SA"/>
        </w:rPr>
        <w:t>等新闻单位及时宣传海关政策法规、本关工作亮点以及口岸外贸动态。三是加强对政务微博、政务微信工作的研究讨论，探讨我关开通运行政务微博、微信并发布政府信息的操作模式及可行性，着力构建主动公开、领导公开接访、微信微博发布等多维立体式的政府信息公开体系，确保信息公开工作持续有效开展。</w:t>
      </w:r>
      <w:r>
        <w:rPr>
          <w:rFonts w:eastAsia="方正仿宋_GBK" w:hint="eastAsia"/>
          <w:bCs/>
          <w:sz w:val="32"/>
          <w:szCs w:val="32"/>
          <w:shd w:val="clear" w:color="auto" w:fill="FFFFFF"/>
        </w:rPr>
        <w:t>为此，我关在接下来的工作中，将进一步</w:t>
      </w:r>
      <w:r>
        <w:rPr>
          <w:rFonts w:eastAsia="方正仿宋_GBK"/>
          <w:bCs/>
          <w:sz w:val="32"/>
          <w:szCs w:val="32"/>
          <w:shd w:val="clear" w:color="auto" w:fill="FFFFFF"/>
        </w:rPr>
        <w:t>统一认识，努力规范工作流程。</w:t>
      </w:r>
      <w:r>
        <w:rPr>
          <w:rFonts w:eastAsia="方正仿宋_GBK" w:hint="eastAsia"/>
          <w:bCs/>
          <w:sz w:val="32"/>
          <w:szCs w:val="32"/>
          <w:shd w:val="clear" w:color="auto" w:fill="FFFFFF"/>
        </w:rPr>
        <w:t>再次深度</w:t>
      </w:r>
      <w:r>
        <w:rPr>
          <w:rFonts w:eastAsia="方正仿宋_GBK"/>
          <w:bCs/>
          <w:sz w:val="32"/>
          <w:szCs w:val="32"/>
          <w:shd w:val="clear" w:color="auto" w:fill="FFFFFF"/>
        </w:rPr>
        <w:t>梳理</w:t>
      </w:r>
      <w:r>
        <w:rPr>
          <w:rFonts w:eastAsia="方正仿宋_GBK" w:hint="eastAsia"/>
          <w:bCs/>
          <w:sz w:val="32"/>
          <w:szCs w:val="32"/>
          <w:shd w:val="clear" w:color="auto" w:fill="FFFFFF"/>
        </w:rPr>
        <w:t>我关</w:t>
      </w:r>
      <w:r>
        <w:rPr>
          <w:rFonts w:eastAsia="方正仿宋_GBK"/>
          <w:bCs/>
          <w:sz w:val="32"/>
          <w:szCs w:val="32"/>
          <w:shd w:val="clear" w:color="auto" w:fill="FFFFFF"/>
        </w:rPr>
        <w:t>所掌握的需要公开的政府信息，及时提供，定期维护，确保政府信息公开工作能按照既定的工作流程有效运作，公众能够方便查询</w:t>
      </w:r>
      <w:r>
        <w:rPr>
          <w:rFonts w:eastAsia="方正仿宋_GBK" w:hint="eastAsia"/>
          <w:bCs/>
          <w:sz w:val="32"/>
          <w:szCs w:val="32"/>
          <w:shd w:val="clear" w:color="auto" w:fill="FFFFFF"/>
        </w:rPr>
        <w:t>；</w:t>
      </w:r>
      <w:r>
        <w:rPr>
          <w:rFonts w:eastAsia="方正仿宋_GBK"/>
          <w:bCs/>
          <w:sz w:val="32"/>
          <w:szCs w:val="32"/>
          <w:shd w:val="clear" w:color="auto" w:fill="FFFFFF"/>
        </w:rPr>
        <w:t>进一步做好</w:t>
      </w:r>
      <w:r>
        <w:rPr>
          <w:rFonts w:eastAsia="方正仿宋_GBK" w:hint="eastAsia"/>
          <w:bCs/>
          <w:sz w:val="32"/>
          <w:szCs w:val="32"/>
          <w:shd w:val="clear" w:color="auto" w:fill="FFFFFF"/>
        </w:rPr>
        <w:t>南宁海关、地方政府</w:t>
      </w:r>
      <w:bookmarkStart w:id="1" w:name="_GoBack"/>
      <w:bookmarkEnd w:id="1"/>
      <w:r>
        <w:rPr>
          <w:rFonts w:eastAsia="方正仿宋_GBK"/>
          <w:bCs/>
          <w:sz w:val="32"/>
          <w:szCs w:val="32"/>
          <w:shd w:val="clear" w:color="auto" w:fill="FFFFFF"/>
        </w:rPr>
        <w:t>网站</w:t>
      </w:r>
      <w:r>
        <w:rPr>
          <w:rFonts w:eastAsia="方正仿宋_GBK" w:hint="eastAsia"/>
          <w:bCs/>
          <w:sz w:val="32"/>
          <w:szCs w:val="32"/>
          <w:shd w:val="clear" w:color="auto" w:fill="FFFFFF"/>
        </w:rPr>
        <w:t>等要求的</w:t>
      </w:r>
      <w:r>
        <w:rPr>
          <w:rFonts w:eastAsia="方正仿宋_GBK"/>
          <w:bCs/>
          <w:sz w:val="32"/>
          <w:szCs w:val="32"/>
          <w:shd w:val="clear" w:color="auto" w:fill="FFFFFF"/>
        </w:rPr>
        <w:t>信息公开工作，及时、准确公布</w:t>
      </w:r>
      <w:r>
        <w:rPr>
          <w:rFonts w:eastAsia="方正仿宋_GBK" w:hint="eastAsia"/>
          <w:bCs/>
          <w:sz w:val="32"/>
          <w:szCs w:val="32"/>
          <w:shd w:val="clear" w:color="auto" w:fill="FFFFFF"/>
        </w:rPr>
        <w:t>海关</w:t>
      </w:r>
      <w:r>
        <w:rPr>
          <w:rFonts w:eastAsia="方正仿宋_GBK"/>
          <w:bCs/>
          <w:sz w:val="32"/>
          <w:szCs w:val="32"/>
          <w:shd w:val="clear" w:color="auto" w:fill="FFFFFF"/>
        </w:rPr>
        <w:t>政策变化的各项信息，方便群众了解</w:t>
      </w:r>
      <w:r>
        <w:rPr>
          <w:rFonts w:eastAsia="方正仿宋_GBK" w:hint="eastAsia"/>
          <w:bCs/>
          <w:sz w:val="32"/>
          <w:szCs w:val="32"/>
          <w:shd w:val="clear" w:color="auto" w:fill="FFFFFF"/>
        </w:rPr>
        <w:t>各项</w:t>
      </w:r>
      <w:r>
        <w:rPr>
          <w:rFonts w:eastAsia="方正仿宋_GBK"/>
          <w:bCs/>
          <w:sz w:val="32"/>
          <w:szCs w:val="32"/>
          <w:shd w:val="clear" w:color="auto" w:fill="FFFFFF"/>
        </w:rPr>
        <w:t>政策的动态</w:t>
      </w:r>
      <w:r>
        <w:rPr>
          <w:rFonts w:eastAsia="方正仿宋_GBK" w:hint="eastAsia"/>
          <w:bCs/>
          <w:sz w:val="32"/>
          <w:szCs w:val="32"/>
          <w:shd w:val="clear" w:color="auto" w:fill="FFFFFF"/>
        </w:rPr>
        <w:t>；进一步丰富政策解读形式，提供文字、图片、视频、访谈等多样化解读方式。</w:t>
      </w:r>
    </w:p>
    <w:sectPr>
      <w:footerReference w:type="default" r:id="rId2"/>
      <w:footerReference w:type="even" r:id="rId3"/>
      <w:pgSz w:w="11906" w:h="16838"/>
      <w:pgMar w:top="2098" w:right="1474" w:bottom="1871" w:left="1588" w:header="851" w:footer="992" w:gutter="0"/>
      <w:titlePg/>
      <w:docGrid w:type="lines" w:linePitch="408"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0000000000000000000"/>
    <w:charset w:val="86"/>
    <w:family w:val="modern"/>
    <w:pitch w:val="variable"/>
    <w:sig w:usb0="00000000" w:usb1="080E0000" w:usb2="0000000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modern"/>
    <w:pitch w:val="variable"/>
    <w:sig w:usb0="00000000"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altName w:val="楷体_GB2312"/>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righ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4</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trackRevisions/>
  <w:defaultTabStop w:val="420"/>
  <w:drawingGridHorizontalSpacing w:val="15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0"/>
      <w:szCs w:val="30"/>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Normal (Web)"/>
    <w:basedOn w:val="0"/>
    <w:pPr>
      <w:spacing w:beforeAutospacing="1" w:afterAutospacing="1"/>
      <w:jc w:val="left"/>
    </w:pPr>
    <w:rPr>
      <w:kern w:val="0"/>
      <w:sz w:val="24"/>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Balloon Text"/>
    <w:basedOn w:val="0"/>
    <w:rPr>
      <w:sz w:val="18"/>
      <w:szCs w:val="18"/>
    </w:rPr>
  </w:style>
  <w:style w:type="paragraph" w:styleId="19">
    <w:name w:val="annotation text"/>
    <w:basedOn w:val="0"/>
    <w:pPr>
      <w:jc w:val="left"/>
    </w:pPr>
  </w:style>
  <w:style w:type="paragraph" w:customStyle="1" w:styleId="20">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1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4">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6">
    <w:name w:val="样式 3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7">
    <w:name w:val="样式 4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8">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29">
    <w:name w:val="样式 6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0">
    <w:name w:val="样式 7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1">
    <w:name w:val="样式 8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 w:type="paragraph" w:customStyle="1" w:styleId="32">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2 10 磅"/>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小三"/>
    <w:next w:val="41"/>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0">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1">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2">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10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4">
    <w:name w:val="样式 11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5">
    <w:name w:val="样式 1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6">
    <w:name w:val="样式 13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7">
    <w:name w:val="样式 14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8">
    <w:name w:val="样式 15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9">
    <w:name w:val="样式 16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0">
    <w:name w:val="样式 17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1">
    <w:name w:val="样式 18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2">
    <w:name w:val="样式 19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3">
    <w:name w:val="样式 20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4">
    <w:name w:val="样式 21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5">
    <w:name w:val="样式 2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6">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3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61">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6 小三"/>
    <w:pPr>
      <w:widowControl w:val="0"/>
      <w:jc w:val="both"/>
    </w:pPr>
    <w:rPr>
      <w:rFonts w:ascii="Times New Roman" w:eastAsia="宋体" w:cs="Times New Roman" w:hAnsi="Times New Roman"/>
      <w:kern w:val="2"/>
      <w:sz w:val="30"/>
      <w:szCs w:val="3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622</TotalTime>
  <Application>Yozo_Office</Application>
  <Pages>10</Pages>
  <Words>3901</Words>
  <Characters>3996</Characters>
  <Lines>682</Lines>
  <Paragraphs>308</Paragraphs>
  <CharactersWithSpaces>4189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ldd</dc:creator>
  <cp:lastModifiedBy>李亚莅</cp:lastModifiedBy>
  <cp:revision>159</cp:revision>
  <dcterms:created xsi:type="dcterms:W3CDTF">2019-11-29T07:41:00Z</dcterms:created>
  <dcterms:modified xsi:type="dcterms:W3CDTF">2020-01-21T07:44:23Z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2052-10.8.2.6990</vt:lpwstr>
  </property>
</Properties>
</file>