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color w:val="545454"/>
          <w:sz w:val="44"/>
          <w:szCs w:val="44"/>
        </w:rPr>
        <w:t> </w:t>
      </w:r>
      <w:r>
        <w:rPr>
          <w:rFonts w:ascii="方正小标宋_GBK" w:eastAsia="方正小标宋_GBK" w:hint="eastAsia"/>
          <w:sz w:val="44"/>
          <w:szCs w:val="44"/>
        </w:rPr>
        <w:t>防城海关201</w:t>
      </w:r>
      <w:r>
        <w:rPr>
          <w:rFonts w:ascii="方正小标宋_GBK" w:eastAsia="方正小标宋_GBK"/>
          <w:sz w:val="44"/>
          <w:szCs w:val="44"/>
        </w:rPr>
        <w:t>9</w:t>
      </w:r>
      <w:r>
        <w:rPr>
          <w:rFonts w:ascii="方正小标宋_GBK" w:eastAsia="方正小标宋_GBK" w:hint="eastAsia"/>
          <w:sz w:val="44"/>
          <w:szCs w:val="44"/>
        </w:rPr>
        <w:t>年政府信息公开</w:t>
      </w:r>
      <w:r>
        <w:rPr>
          <w:rFonts w:ascii="方正小标宋_GBK" w:eastAsia="方正小标宋_GBK"/>
          <w:sz w:val="44"/>
          <w:szCs w:val="44"/>
        </w:rPr>
        <w:t>工作</w:t>
      </w:r>
      <w:r>
        <w:rPr>
          <w:rFonts w:ascii="方正小标宋_GBK" w:eastAsia="方正小标宋_GBK" w:hint="eastAsia"/>
          <w:sz w:val="44"/>
          <w:szCs w:val="44"/>
        </w:rPr>
        <w:t>年度报告</w:t>
      </w:r>
    </w:p>
    <w:p>
      <w:pPr>
        <w:ind w:firstLineChars="200" w:firstLine="632"/>
      </w:pPr>
    </w:p>
    <w:p>
      <w:pPr>
        <w:ind w:firstLineChars="200" w:firstLine="632"/>
        <w:rPr>
          <w:rFonts w:ascii="宋体" w:cs="宋体" w:hAnsi="宋体"/>
          <w:kern w:val="0"/>
          <w:sz w:val="19"/>
          <w:szCs w:val="19"/>
          <w:lang w:val="en-US"/>
        </w:rPr>
      </w:pPr>
      <w:r>
        <w:t>2019年，防城海关认真落实政府信息公开，加强信息主动公开和依申请公开工作，推进行政权力公开透明运行，主动接受社会监督，海关政府信息公开工作质量和水平得到有效提升。</w:t>
      </w:r>
      <w:r>
        <w:rPr>
          <w:rFonts w:cs="宋体"/>
          <w:lang w:val="en-US"/>
        </w:rPr>
        <w:t>现将2019年度政府信息公开工作公开如下：</w:t>
      </w:r>
    </w:p>
    <w:p>
      <w:pPr>
        <w:ind w:firstLineChars="200" w:firstLine="632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一、总体情况</w:t>
      </w:r>
    </w:p>
    <w:p>
      <w:pPr>
        <w:pStyle w:val="36"/>
        <w:ind w:firstLineChars="200" w:firstLine="632"/>
        <w:rPr>
          <w:rFonts w:ascii="方正楷体_GBK" w:eastAsia="方正楷体_GBK" w:hint="eastAsia"/>
          <w:b/>
          <w:bCs/>
        </w:rPr>
      </w:pPr>
      <w:r>
        <w:rPr>
          <w:rFonts w:ascii="方正楷体_GBK" w:eastAsia="方正楷体_GBK" w:hint="eastAsia"/>
          <w:b/>
          <w:bCs/>
        </w:rPr>
        <w:t>（一）形成联动</w:t>
      </w:r>
      <w:r>
        <w:rPr>
          <w:rFonts w:ascii="方正楷体_GBK" w:eastAsia="方正楷体_GBK"/>
          <w:b/>
          <w:bCs/>
        </w:rPr>
        <w:t>，</w:t>
      </w:r>
      <w:r>
        <w:rPr>
          <w:rFonts w:ascii="方正楷体_GBK" w:eastAsia="方正楷体_GBK" w:hint="eastAsia"/>
          <w:b/>
          <w:bCs/>
        </w:rPr>
        <w:t>建立长效机制。</w:t>
      </w:r>
    </w:p>
    <w:p>
      <w:pPr>
        <w:pStyle w:val="36"/>
        <w:ind w:firstLineChars="200" w:firstLine="632"/>
      </w:pPr>
      <w:r>
        <w:t>按照</w:t>
      </w:r>
      <w:r>
        <w:rPr>
          <w:rFonts w:hint="eastAsia"/>
        </w:rPr>
        <w:t>“</w:t>
      </w:r>
      <w:r>
        <w:t>关党委统一领导、办公室组织协调、业务部门积极参与</w:t>
      </w:r>
      <w:r>
        <w:rPr>
          <w:rFonts w:hint="eastAsia"/>
        </w:rPr>
        <w:t>”</w:t>
      </w:r>
      <w:r>
        <w:t>的原则，根据机构改革及</w:t>
      </w:r>
      <w:r>
        <w:rPr>
          <w:rFonts w:hint="eastAsia"/>
        </w:rPr>
        <w:t>“</w:t>
      </w:r>
      <w:r>
        <w:t>三定</w:t>
      </w:r>
      <w:r>
        <w:rPr>
          <w:rFonts w:hint="eastAsia"/>
        </w:rPr>
        <w:t>”</w:t>
      </w:r>
      <w:r>
        <w:t>后人员调整情况，以办公室为总牵头部门，打造</w:t>
      </w:r>
      <w:r>
        <w:rPr>
          <w:rFonts w:hint="eastAsia"/>
        </w:rPr>
        <w:t>“</w:t>
      </w:r>
      <w:r>
        <w:t>1+N</w:t>
      </w:r>
      <w:r>
        <w:rPr>
          <w:rFonts w:hint="eastAsia"/>
        </w:rPr>
        <w:t>”</w:t>
      </w:r>
      <w:r>
        <w:t>工作流程体系，明晰相关科室工作机构职责，梳理政务公开工作内容，助推决策、执行、管理、服务、结果</w:t>
      </w:r>
      <w:r>
        <w:rPr>
          <w:rFonts w:hint="eastAsia"/>
        </w:rPr>
        <w:t>“</w:t>
      </w:r>
      <w:r>
        <w:t>五公开</w:t>
      </w:r>
      <w:r>
        <w:rPr>
          <w:rFonts w:hint="eastAsia"/>
        </w:rPr>
        <w:t>”</w:t>
      </w:r>
      <w:r>
        <w:t>的有序衔接；安排专人进行督办提醒，快速响应，实时更新机构改革过程中公开的政府信息，逐条对照2019年5月《中华人民共和国政府信息公开条例》进行查缺补漏，确保主动公开事项无遗漏，非规定不予公开事项逐步渐少。</w:t>
      </w:r>
    </w:p>
    <w:p>
      <w:pPr>
        <w:pStyle w:val="36"/>
        <w:ind w:firstLineChars="200" w:firstLine="632"/>
        <w:rPr>
          <w:rFonts w:ascii="方正楷体_GBK" w:eastAsia="方正楷体_GBK" w:hint="eastAsia"/>
          <w:b/>
          <w:bCs/>
        </w:rPr>
      </w:pPr>
      <w:r>
        <w:rPr>
          <w:rFonts w:ascii="方正楷体_GBK" w:eastAsia="方正楷体_GBK" w:hint="eastAsia"/>
          <w:b/>
          <w:bCs/>
        </w:rPr>
        <w:t>（二）依托党建，创新公开形式。</w:t>
      </w:r>
    </w:p>
    <w:p>
      <w:pPr>
        <w:pStyle w:val="36"/>
        <w:ind w:firstLineChars="200" w:firstLine="632"/>
      </w:pPr>
      <w:r>
        <w:t>一是依托</w:t>
      </w:r>
      <w:r>
        <w:rPr>
          <w:rFonts w:hint="eastAsia"/>
        </w:rPr>
        <w:t>“</w:t>
      </w:r>
      <w:r>
        <w:t>东湾论坛</w:t>
      </w:r>
      <w:r>
        <w:rPr>
          <w:rFonts w:hint="eastAsia"/>
        </w:rPr>
        <w:t>”“</w:t>
      </w:r>
      <w:r>
        <w:t>红树林</w:t>
      </w:r>
      <w:r>
        <w:rPr>
          <w:rFonts w:hint="eastAsia"/>
        </w:rPr>
        <w:t>”</w:t>
      </w:r>
      <w:r>
        <w:t>等本关特色党建品牌，实现</w:t>
      </w:r>
      <w:r>
        <w:rPr>
          <w:rFonts w:hint="eastAsia"/>
        </w:rPr>
        <w:t>“</w:t>
      </w:r>
      <w:r>
        <w:t>党建+业务</w:t>
      </w:r>
      <w:r>
        <w:rPr>
          <w:rFonts w:hint="eastAsia"/>
        </w:rPr>
        <w:t>”</w:t>
      </w:r>
      <w:r>
        <w:t>政务公开方式，邀请南宁海关职能处室、关内业务专家，以面对面方式打造关企互动连心桥，第一时间解读重大政策，听取企业意见心声，回应热点关切问题，促进重点领域信息、决策发布、解读、回应的有序衔接。今年以来，共召开7次党建品牌政务公开宣讲会。二是结合</w:t>
      </w:r>
      <w:r>
        <w:rPr>
          <w:rFonts w:hint="eastAsia"/>
        </w:rPr>
        <w:t>“</w:t>
      </w:r>
      <w:r>
        <w:t>不忘初心、牢记使命</w:t>
      </w:r>
      <w:r>
        <w:rPr>
          <w:rFonts w:hint="eastAsia"/>
        </w:rPr>
        <w:t>”</w:t>
      </w:r>
      <w:r>
        <w:t>主题教育和</w:t>
      </w:r>
      <w:r>
        <w:rPr>
          <w:rFonts w:hint="eastAsia"/>
        </w:rPr>
        <w:t>“</w:t>
      </w:r>
      <w:r>
        <w:t>青年文明号开放周</w:t>
      </w:r>
      <w:r>
        <w:rPr>
          <w:rFonts w:hint="eastAsia"/>
        </w:rPr>
        <w:t>”</w:t>
      </w:r>
      <w:r>
        <w:t>活动，走访辖区多家代理企业，宣传最新海关改革项目及相关政策，积极引导企业参与到海关业务改革，享受改革红利，及时收集企业提出的意见或建议，以实际行动服务企业。</w:t>
      </w:r>
    </w:p>
    <w:p>
      <w:pPr>
        <w:pStyle w:val="19"/>
        <w:spacing w:before="0" w:beforeAutospacing="0" w:after="0" w:afterAutospacing="0" w:line="444" w:lineRule="atLeast"/>
        <w:ind w:firstLineChars="200" w:firstLine="632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/>
          <w:b/>
          <w:bCs/>
          <w:sz w:val="32"/>
          <w:szCs w:val="32"/>
        </w:rPr>
        <w:t>（三）</w:t>
      </w:r>
      <w:r>
        <w:rPr>
          <w:rFonts w:ascii="方正楷体_GBK" w:eastAsia="方正楷体_GBK" w:hint="eastAsia"/>
          <w:b/>
          <w:bCs/>
          <w:sz w:val="32"/>
          <w:szCs w:val="32"/>
        </w:rPr>
        <w:t>精准控制，锁定公开点位。</w:t>
      </w:r>
    </w:p>
    <w:p>
      <w:pPr>
        <w:pStyle w:val="19"/>
        <w:spacing w:before="0" w:beforeAutospacing="0" w:after="0" w:afterAutospacing="0" w:line="444" w:lineRule="atLeast"/>
        <w:ind w:left="0" w:firstLineChars="200" w:firstLine="632"/>
        <w:rPr>
          <w:rFonts w:ascii="Times New Roman" w:eastAsia="方正仿宋_GBK" w:hAnsi="Times New Roman"/>
          <w:kern w:val="2"/>
          <w:sz w:val="32"/>
          <w:szCs w:val="28"/>
        </w:rPr>
      </w:pPr>
      <w:r>
        <w:rPr>
          <w:rFonts w:ascii="Times New Roman" w:eastAsia="方正仿宋_GBK" w:hAnsi="Times New Roman"/>
          <w:kern w:val="2"/>
          <w:sz w:val="32"/>
          <w:szCs w:val="28"/>
        </w:rPr>
        <w:t>通过对业务工作流程公开点位的精准控制，在我关各业务科室均设立政务公开栏，由各业务科室根据实际业务情况及时全面发布公开信息，使企业知道何事找谁办、按什么程序办、如何反应诉求和怎样咨询政策；在南宁海关互联网页面公布我关办公室、主要业务现场联系方式，在业务现场公布办事指南，便于企业和群众联系咨询，减少企业、群众跑现场次数，提升业务办理效率。</w:t>
      </w:r>
    </w:p>
    <w:p>
      <w:pPr>
        <w:pStyle w:val="19"/>
        <w:spacing w:before="0" w:beforeAutospacing="0" w:after="0" w:afterAutospacing="0" w:line="444" w:lineRule="atLeast"/>
        <w:ind w:firstLineChars="200" w:firstLine="632"/>
        <w:rPr>
          <w:rStyle w:val="0"/>
          <w:rFonts w:ascii="方正楷体_GBK" w:eastAsia="方正楷体_GBK"/>
          <w:b/>
          <w:bCs/>
          <w:kern w:val="0"/>
          <w:szCs w:val="32"/>
        </w:rPr>
      </w:pPr>
      <w:r>
        <w:rPr>
          <w:rStyle w:val="0"/>
          <w:rFonts w:ascii="方正楷体_GBK" w:eastAsia="方正楷体_GBK"/>
          <w:b/>
          <w:bCs/>
          <w:kern w:val="0"/>
          <w:szCs w:val="32"/>
        </w:rPr>
        <w:t>（四）深入开展普法宣传，营造良好执法环境。</w:t>
      </w:r>
    </w:p>
    <w:p>
      <w:pPr>
        <w:pStyle w:val="19"/>
        <w:spacing w:before="0" w:beforeAutospacing="0" w:after="0" w:afterAutospacing="0" w:line="444" w:lineRule="atLeast"/>
        <w:ind w:firstLineChars="200" w:firstLine="632"/>
        <w:rPr>
          <w:rStyle w:val="0"/>
          <w:rFonts w:ascii="方正楷体_GBK" w:eastAsia="方正楷体_GBK"/>
          <w:kern w:val="0"/>
          <w:szCs w:val="32"/>
        </w:rPr>
      </w:pPr>
      <w:r>
        <w:rPr>
          <w:rStyle w:val="0"/>
          <w:szCs w:val="28"/>
        </w:rPr>
        <w:t>通过发放宣传手册、走访送法上门、政策法规宣讲、现场集中解答企业咨询等形式开展法制宣传活动，先后开展了</w:t>
      </w:r>
      <w:r>
        <w:rPr>
          <w:rStyle w:val="0"/>
          <w:rFonts w:hint="eastAsia"/>
          <w:szCs w:val="28"/>
        </w:rPr>
        <w:t>“</w:t>
      </w:r>
      <w:r>
        <w:rPr>
          <w:rStyle w:val="0"/>
          <w:szCs w:val="28"/>
        </w:rPr>
        <w:t>4.26</w:t>
      </w:r>
      <w:r>
        <w:rPr>
          <w:rStyle w:val="0"/>
          <w:rFonts w:hint="eastAsia"/>
          <w:szCs w:val="28"/>
        </w:rPr>
        <w:t>”</w:t>
      </w:r>
      <w:r>
        <w:rPr>
          <w:rStyle w:val="0"/>
          <w:szCs w:val="28"/>
        </w:rPr>
        <w:t>知识产权宣传周、</w:t>
      </w:r>
      <w:r>
        <w:rPr>
          <w:rStyle w:val="0"/>
          <w:rFonts w:hint="eastAsia"/>
          <w:szCs w:val="28"/>
        </w:rPr>
        <w:t>“</w:t>
      </w:r>
      <w:r>
        <w:rPr>
          <w:rStyle w:val="0"/>
          <w:szCs w:val="28"/>
        </w:rPr>
        <w:t>6.26</w:t>
      </w:r>
      <w:r>
        <w:rPr>
          <w:rStyle w:val="0"/>
          <w:rFonts w:hint="eastAsia"/>
          <w:szCs w:val="28"/>
        </w:rPr>
        <w:t>”</w:t>
      </w:r>
      <w:r>
        <w:rPr>
          <w:rStyle w:val="0"/>
          <w:szCs w:val="28"/>
        </w:rPr>
        <w:t>国际禁毒日法制宣传、</w:t>
      </w:r>
      <w:r>
        <w:rPr>
          <w:rStyle w:val="0"/>
          <w:rFonts w:hint="eastAsia"/>
          <w:szCs w:val="28"/>
        </w:rPr>
        <w:t>“</w:t>
      </w:r>
      <w:r>
        <w:rPr>
          <w:rStyle w:val="0"/>
          <w:szCs w:val="28"/>
        </w:rPr>
        <w:t>8.8全国海关法制宣传日</w:t>
      </w:r>
      <w:r>
        <w:rPr>
          <w:rStyle w:val="0"/>
          <w:rFonts w:hint="eastAsia"/>
          <w:szCs w:val="28"/>
        </w:rPr>
        <w:t>”</w:t>
      </w:r>
      <w:r>
        <w:rPr>
          <w:rStyle w:val="0"/>
          <w:szCs w:val="28"/>
        </w:rPr>
        <w:t>、</w:t>
      </w:r>
      <w:r>
        <w:rPr>
          <w:rStyle w:val="0"/>
          <w:rFonts w:hint="eastAsia"/>
          <w:szCs w:val="28"/>
        </w:rPr>
        <w:t>“</w:t>
      </w:r>
      <w:r>
        <w:rPr>
          <w:rStyle w:val="0"/>
          <w:szCs w:val="28"/>
        </w:rPr>
        <w:t>12.4</w:t>
      </w:r>
      <w:r>
        <w:rPr>
          <w:rStyle w:val="0"/>
          <w:rFonts w:hint="eastAsia"/>
          <w:szCs w:val="28"/>
        </w:rPr>
        <w:t>”</w:t>
      </w:r>
      <w:r>
        <w:rPr>
          <w:rStyle w:val="0"/>
          <w:szCs w:val="28"/>
        </w:rPr>
        <w:t>法制宣传日等各类主题活动，对外广泛宣传海关政策规范，使社会各界全面、准确地了解海关各项法律制度，建立了其与海关相互支持、相互信任的和谐工作关系。</w:t>
      </w:r>
    </w:p>
    <w:p>
      <w:pPr>
        <w:pStyle w:val="40"/>
        <w:widowControl/>
        <w:shd w:val="clear" w:color="auto" w:fill="FFFFFF"/>
        <w:adjustRightInd w:val="0"/>
        <w:snapToGrid w:val="0"/>
        <w:spacing w:beforeAutospacing="0" w:after="0" w:afterAutospacing="0" w:line="400" w:lineRule="exact"/>
        <w:ind w:firstLineChars="200" w:firstLine="632"/>
        <w:jc w:val="both"/>
        <w:rPr>
          <w:rFonts w:ascii="方正黑体_GBK" w:eastAsia="方正黑体_GBK" w:cs="楷体_GB2312"/>
          <w:bCs/>
          <w:color w:val="auto"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</w:rPr>
        <w:t>二、主动公开政府信息情况</w:t>
      </w:r>
    </w:p>
    <w:tbl>
      <w:tblPr>
        <w:jc w:val="center"/>
        <w:tblW w:w="10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2183"/>
        <w:gridCol w:w="1551"/>
        <w:gridCol w:w="3446"/>
      </w:tblGrid>
      <w:tr>
        <w:trPr>
          <w:trHeight w:val="495"/>
        </w:trPr>
        <w:tc>
          <w:tcPr>
            <w:tcW w:w="102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88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本年新</w:t>
              <w:br/>
            </w:r>
            <w:r>
              <w:rPr>
                <w:color w:val="auto"/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本年新</w:t>
              <w:br/>
            </w:r>
            <w:r>
              <w:rPr>
                <w:color w:val="auto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对外公开总数量</w:t>
            </w:r>
          </w:p>
        </w:tc>
      </w:tr>
      <w:tr>
        <w:trPr>
          <w:trHeight w:val="27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　　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1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　　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80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436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本年减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0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63</w:t>
            </w:r>
          </w:p>
        </w:tc>
      </w:tr>
      <w:tr>
        <w:trPr>
          <w:trHeight w:val="40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4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3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16</w:t>
            </w:r>
          </w:p>
        </w:tc>
      </w:tr>
      <w:tr>
        <w:trPr>
          <w:trHeight w:val="40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68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第二十条第（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七</w:t>
            </w: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）项</w:t>
            </w:r>
          </w:p>
        </w:tc>
      </w:tr>
      <w:tr>
        <w:trPr>
          <w:trHeight w:val="4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7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6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5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2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63"/>
              <w:widowControl/>
              <w:adjustRightInd w:val="0"/>
              <w:snapToGrid w:val="0"/>
              <w:spacing w:after="180" w:line="260" w:lineRule="exact"/>
              <w:jc w:val="left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62"/>
              <w:widowControl/>
              <w:adjustRightInd w:val="0"/>
              <w:snapToGrid w:val="0"/>
              <w:spacing w:after="180" w:line="260" w:lineRule="exact"/>
              <w:ind w:firstLineChars="100" w:firstLine="236"/>
              <w:jc w:val="left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61"/>
              <w:widowControl/>
              <w:adjustRightInd w:val="0"/>
              <w:snapToGrid w:val="0"/>
              <w:spacing w:after="180" w:line="260" w:lineRule="exact"/>
              <w:ind w:firstLineChars="100" w:firstLine="236"/>
              <w:jc w:val="left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60"/>
              <w:widowControl/>
              <w:adjustRightInd w:val="0"/>
              <w:snapToGrid w:val="0"/>
              <w:spacing w:after="180" w:line="260" w:lineRule="exact"/>
              <w:jc w:val="left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103</w:t>
            </w:r>
          </w:p>
        </w:tc>
      </w:tr>
      <w:tr>
        <w:trPr>
          <w:trHeight w:val="474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27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8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7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6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</w:tr>
      <w:tr>
        <w:trPr>
          <w:trHeight w:val="3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4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3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第二十条第（九）项</w:t>
            </w:r>
          </w:p>
        </w:tc>
      </w:tr>
      <w:tr>
        <w:trPr>
          <w:trHeight w:val="41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1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0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9"/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采购总金额</w:t>
            </w:r>
          </w:p>
        </w:tc>
      </w:tr>
      <w:tr>
        <w:trPr>
          <w:trHeight w:val="53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"/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84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"/>
              <w:adjustRightInd w:val="0"/>
              <w:snapToGrid w:val="0"/>
              <w:spacing w:line="260" w:lineRule="exact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ascii="宋体"/>
                <w:color w:val="auto"/>
                <w:sz w:val="24"/>
                <w:szCs w:val="24"/>
              </w:rPr>
              <w:t>402863元</w:t>
            </w:r>
          </w:p>
        </w:tc>
      </w:tr>
    </w:tbl>
    <w:p>
      <w:pPr>
        <w:pStyle w:val="40"/>
        <w:widowControl/>
        <w:shd w:val="clear" w:color="auto" w:fill="FFFFFF"/>
        <w:spacing w:beforeAutospacing="0" w:after="240" w:afterAutospacing="0"/>
        <w:ind w:firstLineChars="200" w:firstLine="632"/>
        <w:jc w:val="both"/>
        <w:rPr>
          <w:rFonts w:ascii="方正黑体_GBK" w:eastAsia="方正黑体_GBK" w:cs="楷体_GB2312"/>
          <w:bCs/>
          <w:color w:val="auto"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申请人情况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6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7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7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7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7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7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7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/>
                <w:color w:val="auto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7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7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7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7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8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8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8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8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8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8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8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8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8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8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9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9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9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9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9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9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9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9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9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9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0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0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0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0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0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0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0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0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0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0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1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1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1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1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1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1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1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1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1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1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3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3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3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3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3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3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3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3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3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3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4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4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4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4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4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4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4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4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4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5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5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5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5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5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5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5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5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5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5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6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6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6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6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6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6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6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6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6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6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7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7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7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7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7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7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7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7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7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7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8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8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8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8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8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8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8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8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8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8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9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9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9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9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9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9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9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9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9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9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0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0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0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0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0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0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0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0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0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0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1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1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1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1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1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1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left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1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1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1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1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2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2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2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</w:tbl>
    <w:p>
      <w:pPr>
        <w:pStyle w:val="40"/>
        <w:widowControl/>
        <w:shd w:val="clear" w:color="auto" w:fill="FFFFFF"/>
        <w:spacing w:beforeAutospacing="0" w:after="240" w:afterAutospacing="0"/>
        <w:ind w:firstLineChars="200" w:firstLine="632"/>
        <w:jc w:val="both"/>
        <w:rPr>
          <w:rFonts w:ascii="宋体" w:cs="宋体"/>
          <w:color w:val="auto"/>
          <w:szCs w:val="24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</w:tr>
      <w:t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2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2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25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26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27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28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29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30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31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3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3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3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32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33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34"/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</w:tr>
    </w:tbl>
    <w:p>
      <w:pPr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       </w:t>
      </w:r>
      <w:r>
        <w:rPr>
          <w:rFonts w:ascii="方正黑体_GBK" w:eastAsia="方正黑体_GBK"/>
        </w:rPr>
        <w:t>五</w:t>
      </w:r>
      <w:r>
        <w:rPr>
          <w:rFonts w:ascii="方正黑体_GBK" w:eastAsia="方正黑体_GBK" w:hint="eastAsia"/>
        </w:rPr>
        <w:t>、存在的主要问题及工作计划</w:t>
      </w:r>
    </w:p>
    <w:p>
      <w:r>
        <w:t> </w:t>
      </w:r>
      <w:r>
        <w:rPr>
          <w:rFonts w:ascii="方正楷体_GBK" w:eastAsia="方正楷体_GBK" w:hint="eastAsia"/>
        </w:rPr>
        <w:t xml:space="preserve">     </w:t>
      </w:r>
      <w:r>
        <w:rPr>
          <w:rFonts w:ascii="方正楷体_GBK" w:eastAsia="方正楷体_GBK" w:hint="eastAsia"/>
          <w:b/>
          <w:bCs/>
        </w:rPr>
        <w:t>（一）存在问题。</w:t>
      </w:r>
    </w:p>
    <w:p>
      <w:pPr>
        <w:ind w:left="0" w:firstLineChars="200" w:firstLine="632"/>
        <w:rPr>
          <w:rFonts w:cs="Arial"/>
        </w:rPr>
      </w:pPr>
      <w:r>
        <w:t>1.</w:t>
      </w:r>
      <w:r>
        <w:rPr>
          <w:rFonts w:cs="Arial" w:hint="eastAsia"/>
        </w:rPr>
        <w:t>政府信息公开的方式和途径有待进一步扩充。</w:t>
      </w:r>
    </w:p>
    <w:p>
      <w:pPr>
        <w:ind w:firstLineChars="200" w:firstLine="632"/>
      </w:pPr>
      <w:r>
        <w:t>2.政策解读和宣传工作水平有待提升。</w:t>
      </w:r>
    </w:p>
    <w:p>
      <w:pPr>
        <w:ind w:firstLineChars="200" w:firstLine="632"/>
        <w:rPr>
          <w:rFonts w:cs="宋体"/>
          <w:lang w:val="en-US"/>
        </w:rPr>
      </w:pPr>
      <w:r>
        <w:t>3.</w:t>
      </w:r>
      <w:r>
        <w:rPr>
          <w:rFonts w:cs="宋体"/>
          <w:lang w:val="en-US"/>
        </w:rPr>
        <w:t>政府信息公开管理制度有待进一步完善。</w:t>
      </w:r>
    </w:p>
    <w:p>
      <w:pPr>
        <w:ind w:firstLineChars="200" w:firstLine="632"/>
        <w:rPr>
          <w:rFonts w:ascii="方正楷体_GBK" w:eastAsia="方正楷体_GBK" w:hint="eastAsia"/>
          <w:b/>
          <w:bCs/>
        </w:rPr>
      </w:pPr>
      <w:r>
        <w:rPr>
          <w:rFonts w:ascii="方正楷体_GBK" w:eastAsia="方正楷体_GBK" w:cs="宋体" w:hint="eastAsia"/>
          <w:b/>
          <w:bCs/>
          <w:lang w:val="en-US"/>
        </w:rPr>
        <w:t>（二）下一步计划。</w:t>
      </w:r>
    </w:p>
    <w:p>
      <w:r>
        <w:t>        2020年，我关将根据海关总署和南宁海关的工作部署，提高思想认识，完善工作制度，通过南宁海关互联网门户网站、党建品牌、新媒体等进一步拓宽公开渠道，加强信息公开培训，做好海关政府信息公开</w:t>
      </w:r>
      <w:bookmarkStart w:id="0" w:name="_GoBack"/>
      <w:bookmarkEnd w:id="0"/>
      <w:r>
        <w:t>工作。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楷体">
    <w:altName w:val="楷体_GB2312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8">
    <w:name w:val="Hyperlink"/>
    <w:rPr>
      <w:color w:val="0000FF"/>
      <w:u w:val="single"/>
    </w:rPr>
  </w:style>
  <w:style w:type="paragraph" w:styleId="19">
    <w:name w:val="Normal (Web)"/>
    <w:next w:val="16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20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5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6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7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8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character" w:styleId="29">
    <w:name w:val="Strong"/>
    <w:rPr>
      <w:b/>
      <w:bCs/>
    </w:rPr>
  </w:style>
  <w:style w:type="paragraph" w:customStyle="1" w:styleId="30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33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4">
    <w:name w:val="样式 2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35">
    <w:name w:val="样式 3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36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7">
    <w:name w:val="样式 4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38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0">
    <w:name w:val="样式 5 小四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paragraph" w:customStyle="1" w:styleId="41">
    <w:name w:val="样式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">
    <w:name w:val="样式 6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43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6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2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1">
    <w:name w:val="样式 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2">
    <w:name w:val="样式 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3">
    <w:name w:val="样式 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4">
    <w:name w:val="样式 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5">
    <w:name w:val="样式 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6">
    <w:name w:val="样式 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7">
    <w:name w:val="样式 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8">
    <w:name w:val="样式 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9">
    <w:name w:val="样式 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0">
    <w:name w:val="样式 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1">
    <w:name w:val="样式 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2">
    <w:name w:val="样式 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3">
    <w:name w:val="样式 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4">
    <w:name w:val="样式 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5">
    <w:name w:val="样式 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6">
    <w:name w:val="样式 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7">
    <w:name w:val="样式 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8">
    <w:name w:val="样式 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9">
    <w:name w:val="样式 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0">
    <w:name w:val="样式 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1">
    <w:name w:val="样式 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2">
    <w:name w:val="样式 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3">
    <w:name w:val="样式 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4">
    <w:name w:val="样式 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9">
    <w:name w:val="样式 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0">
    <w:name w:val="样式 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1">
    <w:name w:val="样式 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9">
    <w:name w:val="样式 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0">
    <w:name w:val="样式 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5">
    <w:name w:val="样式 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6">
    <w:name w:val="样式 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1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1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1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1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1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1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1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1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1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1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1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1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1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1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1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1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1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1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1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1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1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1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1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1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1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1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1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1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1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1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1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1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1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1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1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1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1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1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1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1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1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1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1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1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1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1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1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1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1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1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1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1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1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1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1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1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1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1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1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1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1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1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1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1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1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1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1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8">
    <w:name w:val="样式 1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9">
    <w:name w:val="样式 1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0">
    <w:name w:val="样式 1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1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2">
    <w:name w:val="样式 1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3">
    <w:name w:val="样式 1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4">
    <w:name w:val="样式 1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5">
    <w:name w:val="样式 1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6">
    <w:name w:val="样式 1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7">
    <w:name w:val="样式 1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8">
    <w:name w:val="样式 1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9">
    <w:name w:val="样式 1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0">
    <w:name w:val="样式 1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1">
    <w:name w:val="样式 1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2">
    <w:name w:val="样式 1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3">
    <w:name w:val="样式 1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4">
    <w:name w:val="样式 1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5">
    <w:name w:val="样式 1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6">
    <w:name w:val="样式 1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7">
    <w:name w:val="样式 1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8">
    <w:name w:val="样式 1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1">
    <w:name w:val="样式 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300</TotalTime>
  <Application>Yozo_Office</Application>
  <Pages>6</Pages>
  <Words>2066</Words>
  <Characters>2123</Characters>
  <Lines>408</Lines>
  <Paragraphs>307</Paragraphs>
  <CharactersWithSpaces>2340</CharactersWithSpaces>
  <Company>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苏金莲</dc:creator>
  <cp:lastModifiedBy>李亚莅</cp:lastModifiedBy>
  <cp:revision>1</cp:revision>
  <dcterms:created xsi:type="dcterms:W3CDTF">2019-03-08T01:52:55Z</dcterms:created>
  <dcterms:modified xsi:type="dcterms:W3CDTF">2020-01-21T07:51:43Z</dcterms:modified>
</cp:coreProperties>
</file>